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776F2" w14:textId="77777777" w:rsidR="00D41731" w:rsidRPr="00FA194A" w:rsidRDefault="00D41731" w:rsidP="00D41731">
      <w:pPr>
        <w:rPr>
          <w:rFonts w:ascii="Arial" w:hAnsi="Arial" w:cs="Arial"/>
        </w:rPr>
      </w:pPr>
      <w:r w:rsidRPr="00FA194A">
        <w:rPr>
          <w:rFonts w:ascii="Arial" w:hAnsi="Arial" w:cs="Arial"/>
        </w:rPr>
        <w:t>ŠIFRA 6361 – Tekuće pomoći iz proračuna koji im nije nadležan</w:t>
      </w:r>
    </w:p>
    <w:p w14:paraId="6D7AE19A" w14:textId="77777777" w:rsidR="00D41731" w:rsidRPr="00FA194A" w:rsidRDefault="00D41731" w:rsidP="00D41731">
      <w:pPr>
        <w:rPr>
          <w:rFonts w:ascii="Arial" w:hAnsi="Arial" w:cs="Arial"/>
        </w:rPr>
      </w:pPr>
      <w:r w:rsidRPr="00FA194A">
        <w:rPr>
          <w:rFonts w:ascii="Arial" w:hAnsi="Arial" w:cs="Arial"/>
        </w:rPr>
        <w:t>U prethodnom razdoblju iznose 384.790,00 EUR i odnose se na pomoći od Ministarstva Kulture i Virovitičko Podravske Županije, u ovom izvještajnom razdoblju iznose 397.194,31 EUR</w:t>
      </w:r>
    </w:p>
    <w:p w14:paraId="6446E5FA" w14:textId="3771C9CC" w:rsidR="002E6A08" w:rsidRPr="00FA194A" w:rsidRDefault="002E6A08" w:rsidP="00D41731">
      <w:pPr>
        <w:rPr>
          <w:rFonts w:ascii="Arial" w:hAnsi="Arial" w:cs="Arial"/>
        </w:rPr>
      </w:pPr>
    </w:p>
    <w:p w14:paraId="49457978" w14:textId="200673C6" w:rsidR="00D41731" w:rsidRPr="00FA194A" w:rsidRDefault="00D41731" w:rsidP="00D41731">
      <w:pPr>
        <w:rPr>
          <w:rFonts w:ascii="Arial" w:hAnsi="Arial" w:cs="Arial"/>
        </w:rPr>
      </w:pPr>
      <w:r w:rsidRPr="00FA194A">
        <w:rPr>
          <w:rFonts w:ascii="Arial" w:hAnsi="Arial" w:cs="Arial"/>
        </w:rPr>
        <w:t>ŠIFRA 6362 Kapitalne pomoći iz proračuna koji im nije nadležan u prethodnom razdoblju iznosile su 0,00 EUR dok u ovom izvještajnom razdoblju iznose 8.000,00 EUR i odnose se na izmjenu dijela krovišta ulaza Kazališta.</w:t>
      </w:r>
    </w:p>
    <w:p w14:paraId="24B8D4BA" w14:textId="77777777" w:rsidR="00B93348" w:rsidRPr="00FA194A" w:rsidRDefault="00B93348" w:rsidP="00D41731">
      <w:pPr>
        <w:rPr>
          <w:rFonts w:ascii="Arial" w:hAnsi="Arial" w:cs="Arial"/>
        </w:rPr>
      </w:pPr>
    </w:p>
    <w:p w14:paraId="796ABD8A" w14:textId="445602DD" w:rsidR="00B93348" w:rsidRPr="00FA194A" w:rsidRDefault="00B93348" w:rsidP="00D41731">
      <w:pPr>
        <w:rPr>
          <w:rFonts w:ascii="Arial" w:hAnsi="Arial" w:cs="Arial"/>
        </w:rPr>
      </w:pPr>
      <w:r w:rsidRPr="00FA194A">
        <w:rPr>
          <w:rFonts w:ascii="Arial" w:hAnsi="Arial" w:cs="Arial"/>
        </w:rPr>
        <w:t>ŠIFRA 6526 Ostali nespomenuti prihodi iznose 36.769,80 EUR(odnose se na prihode od prodanih ulaznica građanstvu - 35.389,80) i na prihod od dramskog studija(1.380,00 EUR)  što je više u odnosu na prethodnu godinu kada su isti iznosili 33.433,47 EUR, odnose se na prihode od prodanih ulaznica, povećanje u tekućem izvještajnom razdoblju  bilježimo zbog uplate prihoda od prodanih ulaznica putem internet prodaje.</w:t>
      </w:r>
    </w:p>
    <w:p w14:paraId="0F7A7773" w14:textId="77777777" w:rsidR="00B93348" w:rsidRPr="00FA194A" w:rsidRDefault="00B93348" w:rsidP="00D41731">
      <w:pPr>
        <w:rPr>
          <w:rFonts w:ascii="Arial" w:hAnsi="Arial" w:cs="Arial"/>
        </w:rPr>
      </w:pPr>
    </w:p>
    <w:p w14:paraId="4070C97D" w14:textId="7CE6CBBD" w:rsidR="00D41731" w:rsidRPr="00FA194A" w:rsidRDefault="00B93348" w:rsidP="00D41731">
      <w:pPr>
        <w:rPr>
          <w:rFonts w:ascii="Arial" w:hAnsi="Arial" w:cs="Arial"/>
        </w:rPr>
      </w:pPr>
      <w:r w:rsidRPr="00FA194A">
        <w:rPr>
          <w:rFonts w:ascii="Arial" w:hAnsi="Arial" w:cs="Arial"/>
        </w:rPr>
        <w:t>ŠIFRA 6615 Ostali nespomenuti prihodi iznose 57.122,33 EUR(odnose se na prihode od prodanih ulaznica građanstvu), što je manje u odnosu na prethodnu godinu kada su isti iznosili 63.022,06 EUR, odnose se na prihode od prodanih ulaznica, razlog smanjenju prihoda je nemogućnost igranja predstava u matičnom kazalištu zbog koprodukcijskih dogovora i službenih putovanja u inozemstvo zbog rada na predstavama.</w:t>
      </w:r>
    </w:p>
    <w:p w14:paraId="459A7923" w14:textId="77777777" w:rsidR="00B93348" w:rsidRPr="00FA194A" w:rsidRDefault="00B93348" w:rsidP="00D41731">
      <w:pPr>
        <w:rPr>
          <w:rFonts w:ascii="Arial" w:hAnsi="Arial" w:cs="Arial"/>
        </w:rPr>
      </w:pPr>
    </w:p>
    <w:p w14:paraId="39ADCF12" w14:textId="5CC11E3C" w:rsidR="00DB45AD" w:rsidRPr="00FA194A" w:rsidRDefault="00DB45AD" w:rsidP="00DB45AD">
      <w:pPr>
        <w:rPr>
          <w:rFonts w:ascii="Arial" w:hAnsi="Arial" w:cs="Arial"/>
        </w:rPr>
      </w:pPr>
      <w:r w:rsidRPr="00FA194A">
        <w:rPr>
          <w:rFonts w:ascii="Arial" w:hAnsi="Arial" w:cs="Arial"/>
        </w:rPr>
        <w:t>ŠIFRA 6711-6712 Prihodi iz nadležnog proračuna za financiranje rashoda poslovanja iznose 559.971,66 EUR, bilježimo povećanje  u odnosu na prethodno izvještajno razdoblje kada su isti iznosili 410.294,00 EUR. Razlog povećanju je zapošljavanje jednog novog djelatnika. Također obuhvaća rashode za odvoz komunalnog otpada iz skladišta Kazališta zbog prenamjene prostora, te najam prostora u koje je skladište prebačeno.</w:t>
      </w:r>
    </w:p>
    <w:p w14:paraId="5BEDB51D" w14:textId="77777777" w:rsidR="00DB45AD" w:rsidRPr="00FA194A" w:rsidRDefault="00DB45AD" w:rsidP="00DB45AD">
      <w:pPr>
        <w:rPr>
          <w:rFonts w:ascii="Arial" w:hAnsi="Arial" w:cs="Arial"/>
        </w:rPr>
      </w:pPr>
      <w:r w:rsidRPr="00FA194A">
        <w:rPr>
          <w:rFonts w:ascii="Arial" w:hAnsi="Arial" w:cs="Arial"/>
        </w:rPr>
        <w:t>Prihodi iz nadležnog proračuna za financiranje rashoda za nabavu nefinancijske imovine iznose 4.693,75 EUR, odnose se na sufinanciranje rashoda za izmjenu dijela krovišta Kazališta, dio financira nadležni proračun u iznosu od 4.693,75 EUR, dok 8.000,00 EUR sufinancira Ministarstvo kulture i medija. </w:t>
      </w:r>
    </w:p>
    <w:p w14:paraId="163990E9" w14:textId="77777777" w:rsidR="00B93348" w:rsidRPr="00FA194A" w:rsidRDefault="00B93348" w:rsidP="00D41731">
      <w:pPr>
        <w:rPr>
          <w:rFonts w:ascii="Arial" w:hAnsi="Arial" w:cs="Arial"/>
        </w:rPr>
      </w:pPr>
    </w:p>
    <w:p w14:paraId="7D2035B4" w14:textId="77777777" w:rsidR="00DB45AD" w:rsidRPr="00FA194A" w:rsidRDefault="00DB45AD" w:rsidP="00D41731">
      <w:pPr>
        <w:rPr>
          <w:rFonts w:ascii="Arial" w:hAnsi="Arial" w:cs="Arial"/>
        </w:rPr>
      </w:pPr>
    </w:p>
    <w:p w14:paraId="79D59645" w14:textId="38D8DC78" w:rsidR="00DB45AD" w:rsidRPr="00FA194A" w:rsidRDefault="00DB45AD" w:rsidP="00D41731">
      <w:pPr>
        <w:rPr>
          <w:rFonts w:ascii="Arial" w:hAnsi="Arial" w:cs="Arial"/>
        </w:rPr>
      </w:pPr>
      <w:r w:rsidRPr="00FA194A">
        <w:rPr>
          <w:rFonts w:ascii="Arial" w:hAnsi="Arial" w:cs="Arial"/>
        </w:rPr>
        <w:t>ŠIFRA 3 RASHODI POSLOVANJA 1.024.614,28 EUR u ovom izvještajnom razdoblju, dok u prethodnom iznose 904.291,59 EUR, a povećanje se dogodilo sukladno povećanim plaćama za redovan rad, zapošljavanju novog djelatnika, rad na predstavi u koprodukciji sa kazalištem iz Južne Koreje, rashodima za organizaciju i čišćenje skladišta, rashodima za prijevoz za tekući projekt Lutkokaz  i  rashodima za najam novog skladišnog prostora.</w:t>
      </w:r>
    </w:p>
    <w:p w14:paraId="6C1D84F2" w14:textId="77777777" w:rsidR="00DB45AD" w:rsidRPr="00FA194A" w:rsidRDefault="00DB45AD" w:rsidP="00D41731">
      <w:pPr>
        <w:rPr>
          <w:rFonts w:ascii="Arial" w:hAnsi="Arial" w:cs="Arial"/>
        </w:rPr>
      </w:pPr>
    </w:p>
    <w:p w14:paraId="728ACCDB" w14:textId="33B5F3E7" w:rsidR="00DB45AD" w:rsidRPr="00FA194A" w:rsidRDefault="00DB45AD" w:rsidP="00D41731">
      <w:pPr>
        <w:rPr>
          <w:rFonts w:ascii="Arial" w:hAnsi="Arial" w:cs="Arial"/>
        </w:rPr>
      </w:pPr>
      <w:r w:rsidRPr="00FA194A">
        <w:rPr>
          <w:rFonts w:ascii="Arial" w:hAnsi="Arial" w:cs="Arial"/>
        </w:rPr>
        <w:t>ŠIFRA 3111 Plaće za redovan rad povećavaju se na 544.994,06 EUR sa prethodnih 430.046,66 EUR, razlog tome je zapošljavanje novih djelatnika i povećanje od 5% sukladno kolektivnom ugovoru o radu.</w:t>
      </w:r>
    </w:p>
    <w:p w14:paraId="561E6B83" w14:textId="77777777" w:rsidR="00DB45AD" w:rsidRPr="00FA194A" w:rsidRDefault="00DB45AD" w:rsidP="00D41731">
      <w:pPr>
        <w:rPr>
          <w:rFonts w:ascii="Arial" w:hAnsi="Arial" w:cs="Arial"/>
        </w:rPr>
      </w:pPr>
    </w:p>
    <w:p w14:paraId="30D91674" w14:textId="51DFF30A" w:rsidR="00DB45AD" w:rsidRPr="00FA194A" w:rsidRDefault="00DB45AD" w:rsidP="00D41731">
      <w:pPr>
        <w:rPr>
          <w:rFonts w:ascii="Arial" w:hAnsi="Arial" w:cs="Arial"/>
        </w:rPr>
      </w:pPr>
      <w:r w:rsidRPr="00FA194A">
        <w:rPr>
          <w:rFonts w:ascii="Arial" w:hAnsi="Arial" w:cs="Arial"/>
        </w:rPr>
        <w:t>ŠIFRA 313</w:t>
      </w:r>
      <w:r w:rsidR="007F757C" w:rsidRPr="00FA194A">
        <w:rPr>
          <w:rFonts w:ascii="Arial" w:hAnsi="Arial" w:cs="Arial"/>
        </w:rPr>
        <w:t>2</w:t>
      </w:r>
      <w:r w:rsidRPr="00FA194A">
        <w:rPr>
          <w:rFonts w:ascii="Arial" w:hAnsi="Arial" w:cs="Arial"/>
        </w:rPr>
        <w:t xml:space="preserve"> Doprinosi za </w:t>
      </w:r>
      <w:r w:rsidR="007F757C" w:rsidRPr="00FA194A">
        <w:rPr>
          <w:rFonts w:ascii="Arial" w:hAnsi="Arial" w:cs="Arial"/>
        </w:rPr>
        <w:t>zdravstveno</w:t>
      </w:r>
      <w:r w:rsidRPr="00FA194A">
        <w:rPr>
          <w:rFonts w:ascii="Arial" w:hAnsi="Arial" w:cs="Arial"/>
        </w:rPr>
        <w:t xml:space="preserve"> osiguranje  iznose 76.855,78 eur, povećanje u odnosu na prethodnu godinu( 59.043,23 EUR), razlog – povećanje osnovice po kolektivnom ugovoru i zapošljavanje novog djelatnika.</w:t>
      </w:r>
    </w:p>
    <w:p w14:paraId="3D8163B1" w14:textId="77777777" w:rsidR="00DB45AD" w:rsidRPr="00FA194A" w:rsidRDefault="00DB45AD" w:rsidP="00D41731">
      <w:pPr>
        <w:rPr>
          <w:rFonts w:ascii="Arial" w:hAnsi="Arial" w:cs="Arial"/>
        </w:rPr>
      </w:pPr>
    </w:p>
    <w:p w14:paraId="7E05C4FF" w14:textId="77777777" w:rsidR="00DB45AD" w:rsidRPr="00FA194A" w:rsidRDefault="00DB45AD" w:rsidP="00D41731">
      <w:pPr>
        <w:rPr>
          <w:rFonts w:ascii="Arial" w:hAnsi="Arial" w:cs="Arial"/>
        </w:rPr>
      </w:pPr>
    </w:p>
    <w:p w14:paraId="093152D2" w14:textId="77777777" w:rsidR="00DB45AD" w:rsidRPr="00FA194A" w:rsidRDefault="00DB45AD" w:rsidP="00D41731">
      <w:pPr>
        <w:rPr>
          <w:rFonts w:ascii="Arial" w:hAnsi="Arial" w:cs="Arial"/>
        </w:rPr>
      </w:pPr>
    </w:p>
    <w:p w14:paraId="5953C0EF" w14:textId="77777777" w:rsidR="00DB45AD" w:rsidRPr="00FA194A" w:rsidRDefault="00DB45AD" w:rsidP="00D41731">
      <w:pPr>
        <w:rPr>
          <w:rFonts w:ascii="Arial" w:hAnsi="Arial" w:cs="Arial"/>
        </w:rPr>
      </w:pPr>
    </w:p>
    <w:p w14:paraId="6C1632FD" w14:textId="77777777" w:rsidR="00DB45AD" w:rsidRPr="00FA194A" w:rsidRDefault="00DB45AD" w:rsidP="00D41731">
      <w:pPr>
        <w:rPr>
          <w:rFonts w:ascii="Arial" w:hAnsi="Arial" w:cs="Arial"/>
        </w:rPr>
      </w:pPr>
    </w:p>
    <w:p w14:paraId="4691DC3C" w14:textId="4632FC3F" w:rsidR="00DB45AD" w:rsidRPr="00FA194A" w:rsidRDefault="00DB45AD" w:rsidP="007F757C">
      <w:pPr>
        <w:spacing w:line="276" w:lineRule="auto"/>
        <w:jc w:val="both"/>
        <w:rPr>
          <w:rFonts w:ascii="Arial" w:hAnsi="Arial" w:cs="Arial"/>
        </w:rPr>
      </w:pPr>
      <w:r w:rsidRPr="00FA194A">
        <w:rPr>
          <w:rFonts w:ascii="Arial" w:hAnsi="Arial" w:cs="Arial"/>
        </w:rPr>
        <w:t xml:space="preserve">ŠIFRA </w:t>
      </w:r>
      <w:r w:rsidR="007F757C" w:rsidRPr="00FA194A">
        <w:rPr>
          <w:rFonts w:ascii="Arial" w:hAnsi="Arial" w:cs="Arial"/>
        </w:rPr>
        <w:t>3222 – Materijal i sirovine – u tekućem izvještajnom razdoblju, bilježimo smanjenje rashoda za nabavu Sirovina i Materijala za izradu scenografije i  rekvizite, razlog smanjenju jednostavnost scenografije za predstave rađene u sezoni 2025/2026.</w:t>
      </w:r>
    </w:p>
    <w:p w14:paraId="08120695" w14:textId="77777777" w:rsidR="007F757C" w:rsidRPr="00FA194A" w:rsidRDefault="007F757C" w:rsidP="007F757C">
      <w:pPr>
        <w:spacing w:line="276" w:lineRule="auto"/>
        <w:jc w:val="both"/>
        <w:rPr>
          <w:rFonts w:ascii="Arial" w:hAnsi="Arial" w:cs="Arial"/>
        </w:rPr>
      </w:pPr>
    </w:p>
    <w:p w14:paraId="4748BAD1" w14:textId="6A37D9D0" w:rsidR="007F757C" w:rsidRPr="00FA194A" w:rsidRDefault="007F757C" w:rsidP="007F757C">
      <w:pPr>
        <w:spacing w:line="276" w:lineRule="auto"/>
        <w:jc w:val="both"/>
        <w:rPr>
          <w:rFonts w:ascii="Arial" w:hAnsi="Arial" w:cs="Arial"/>
        </w:rPr>
      </w:pPr>
      <w:r w:rsidRPr="00FA194A">
        <w:rPr>
          <w:rFonts w:ascii="Arial" w:hAnsi="Arial" w:cs="Arial"/>
        </w:rPr>
        <w:t>ŠIFRA 3223 – Energija – odnosi se na režijske rashode te motorni benzin i dizel gorivo. Smanjenje bilježimo zbog manjih režijskih troškova zbog rekonstrukcije sustava grijanja odnosno bojlera.</w:t>
      </w:r>
    </w:p>
    <w:p w14:paraId="0C987F91" w14:textId="77777777" w:rsidR="007F757C" w:rsidRPr="00FA194A" w:rsidRDefault="007F757C" w:rsidP="007F757C">
      <w:pPr>
        <w:spacing w:line="276" w:lineRule="auto"/>
        <w:jc w:val="both"/>
        <w:rPr>
          <w:rFonts w:ascii="Arial" w:hAnsi="Arial" w:cs="Arial"/>
        </w:rPr>
      </w:pPr>
    </w:p>
    <w:p w14:paraId="4C14261A" w14:textId="7EEDAF02" w:rsidR="007F757C" w:rsidRPr="00FA194A" w:rsidRDefault="007F757C" w:rsidP="007F757C">
      <w:pPr>
        <w:spacing w:line="276" w:lineRule="auto"/>
        <w:jc w:val="both"/>
        <w:rPr>
          <w:rFonts w:ascii="Arial" w:hAnsi="Arial" w:cs="Arial"/>
        </w:rPr>
      </w:pPr>
      <w:r w:rsidRPr="00FA194A">
        <w:rPr>
          <w:rFonts w:ascii="Arial" w:hAnsi="Arial" w:cs="Arial"/>
        </w:rPr>
        <w:t>3225 – Sitni inventar i auto gume – u tekućoj izvještajnoj godini, rashodi za sitni inventar su veći zbog nabavke uređaja za tehničko osoblje (motorole, utikači, dimni uređaj, led aku svijetiljka) te nabavke usisivača i perilice za suđe.</w:t>
      </w:r>
    </w:p>
    <w:p w14:paraId="7D3CBE08" w14:textId="77777777" w:rsidR="00DB45AD" w:rsidRPr="00FA194A" w:rsidRDefault="00DB45AD" w:rsidP="00D41731">
      <w:pPr>
        <w:rPr>
          <w:rFonts w:ascii="Arial" w:hAnsi="Arial" w:cs="Arial"/>
        </w:rPr>
      </w:pPr>
    </w:p>
    <w:p w14:paraId="0BEF7F49" w14:textId="6C2A77A8" w:rsidR="00D70E51" w:rsidRPr="00FA194A" w:rsidRDefault="00D70E51" w:rsidP="00D41731">
      <w:pPr>
        <w:rPr>
          <w:rFonts w:ascii="Arial" w:hAnsi="Arial" w:cs="Arial"/>
        </w:rPr>
      </w:pPr>
      <w:r w:rsidRPr="00FA194A">
        <w:rPr>
          <w:rFonts w:ascii="Arial" w:hAnsi="Arial" w:cs="Arial"/>
        </w:rPr>
        <w:t>3231 – Usluge telefona, interneta, pošte i prijevoza – povećanje rashoda usluga telefona, razlog tome je ulazak dva djelatnika na VPN.</w:t>
      </w:r>
    </w:p>
    <w:p w14:paraId="2FA43C46" w14:textId="77777777" w:rsidR="00D70E51" w:rsidRPr="00FA194A" w:rsidRDefault="00D70E51" w:rsidP="00D41731">
      <w:pPr>
        <w:rPr>
          <w:rFonts w:ascii="Arial" w:hAnsi="Arial" w:cs="Arial"/>
        </w:rPr>
      </w:pPr>
    </w:p>
    <w:p w14:paraId="53E09513" w14:textId="484DF209" w:rsidR="00D70E51" w:rsidRPr="00FA194A" w:rsidRDefault="00D70E51" w:rsidP="00D41731">
      <w:pPr>
        <w:rPr>
          <w:rFonts w:ascii="Arial" w:hAnsi="Arial" w:cs="Arial"/>
        </w:rPr>
      </w:pPr>
      <w:r w:rsidRPr="00FA194A">
        <w:rPr>
          <w:rFonts w:ascii="Arial" w:hAnsi="Arial" w:cs="Arial"/>
        </w:rPr>
        <w:t>3232 – Ove izvještajne godine, blago smanjena potreba za popravcima i investicijskim održavanjem zgrade Kazališta.</w:t>
      </w:r>
    </w:p>
    <w:p w14:paraId="6C716CC5" w14:textId="77777777" w:rsidR="00D70E51" w:rsidRPr="00FA194A" w:rsidRDefault="00D70E51" w:rsidP="00D41731">
      <w:pPr>
        <w:rPr>
          <w:rFonts w:ascii="Arial" w:hAnsi="Arial" w:cs="Arial"/>
        </w:rPr>
      </w:pPr>
    </w:p>
    <w:p w14:paraId="3B6A1F40" w14:textId="61083151" w:rsidR="00D70E51" w:rsidRPr="00FA194A" w:rsidRDefault="00D70E51" w:rsidP="00D41731">
      <w:pPr>
        <w:rPr>
          <w:rFonts w:ascii="Arial" w:hAnsi="Arial" w:cs="Arial"/>
        </w:rPr>
      </w:pPr>
      <w:r w:rsidRPr="00FA194A">
        <w:rPr>
          <w:rFonts w:ascii="Arial" w:hAnsi="Arial" w:cs="Arial"/>
        </w:rPr>
        <w:t xml:space="preserve">3233 – Usluge promidžbe i informiranja – tekuće godine povećanje rashoda za usluge promidžbe zbog poskupljenja usluge održavanja društvenih mreža. </w:t>
      </w:r>
    </w:p>
    <w:p w14:paraId="748AD668" w14:textId="77777777" w:rsidR="00D70E51" w:rsidRPr="00FA194A" w:rsidRDefault="00D70E51" w:rsidP="00D41731">
      <w:pPr>
        <w:rPr>
          <w:rFonts w:ascii="Arial" w:hAnsi="Arial" w:cs="Arial"/>
        </w:rPr>
      </w:pPr>
    </w:p>
    <w:p w14:paraId="5A2C24E7" w14:textId="44D57DFA" w:rsidR="00D70E51" w:rsidRPr="00FA194A" w:rsidRDefault="00D70E51" w:rsidP="00D41731">
      <w:pPr>
        <w:rPr>
          <w:rFonts w:ascii="Arial" w:hAnsi="Arial" w:cs="Arial"/>
        </w:rPr>
      </w:pPr>
      <w:r w:rsidRPr="00FA194A">
        <w:rPr>
          <w:rFonts w:ascii="Arial" w:hAnsi="Arial" w:cs="Arial"/>
        </w:rPr>
        <w:t>3234 – Kominalne usluge – u tekućem izvještajnom razdoblju, bilježimo veliko povećanje rashoda za odvoz komunalnog otpada. Razlog tome je čišćenje skladišta Kazališta te odvoz glomaznog otpada sa istog.</w:t>
      </w:r>
    </w:p>
    <w:p w14:paraId="618B6AAD" w14:textId="77777777" w:rsidR="00D70E51" w:rsidRPr="00FA194A" w:rsidRDefault="00D70E51" w:rsidP="00D41731">
      <w:pPr>
        <w:rPr>
          <w:rFonts w:ascii="Arial" w:hAnsi="Arial" w:cs="Arial"/>
        </w:rPr>
      </w:pPr>
    </w:p>
    <w:p w14:paraId="54872C07" w14:textId="6F924C67" w:rsidR="00D70E51" w:rsidRPr="00FA194A" w:rsidRDefault="00D70E51" w:rsidP="00D41731">
      <w:pPr>
        <w:rPr>
          <w:rFonts w:ascii="Arial" w:hAnsi="Arial" w:cs="Arial"/>
        </w:rPr>
      </w:pPr>
      <w:r w:rsidRPr="00FA194A">
        <w:rPr>
          <w:rFonts w:ascii="Arial" w:hAnsi="Arial" w:cs="Arial"/>
        </w:rPr>
        <w:t>3235 – Zakupnine i najamnine – u tekućem razdoblju povećanje rashoda za najamnine, odnosi se na troškove zakupa prostora za skladište te već stalnih rashoda za najam smještaja za autorske timove i najam vozila za prijevoz ansambla i scenografije na gostovanja van matičnog Kazališta.</w:t>
      </w:r>
    </w:p>
    <w:p w14:paraId="7B2958E2" w14:textId="77777777" w:rsidR="00D70E51" w:rsidRPr="00FA194A" w:rsidRDefault="00D70E51" w:rsidP="00D41731">
      <w:pPr>
        <w:rPr>
          <w:rFonts w:ascii="Arial" w:hAnsi="Arial" w:cs="Arial"/>
        </w:rPr>
      </w:pPr>
    </w:p>
    <w:p w14:paraId="52C051CD" w14:textId="557C1062" w:rsidR="00D70E51" w:rsidRPr="00FA194A" w:rsidRDefault="00D70E51" w:rsidP="00D41731">
      <w:pPr>
        <w:rPr>
          <w:rFonts w:ascii="Arial" w:hAnsi="Arial" w:cs="Arial"/>
        </w:rPr>
      </w:pPr>
      <w:r w:rsidRPr="00FA194A">
        <w:rPr>
          <w:rFonts w:ascii="Arial" w:hAnsi="Arial" w:cs="Arial"/>
        </w:rPr>
        <w:t xml:space="preserve">3239 </w:t>
      </w:r>
      <w:r w:rsidR="00FA194A" w:rsidRPr="00FA194A">
        <w:rPr>
          <w:rFonts w:ascii="Arial" w:hAnsi="Arial" w:cs="Arial"/>
        </w:rPr>
        <w:t>–</w:t>
      </w:r>
      <w:r w:rsidRPr="00FA194A">
        <w:rPr>
          <w:rFonts w:ascii="Arial" w:hAnsi="Arial" w:cs="Arial"/>
        </w:rPr>
        <w:t xml:space="preserve"> </w:t>
      </w:r>
      <w:r w:rsidR="00FA194A" w:rsidRPr="00FA194A">
        <w:rPr>
          <w:rFonts w:ascii="Arial" w:hAnsi="Arial" w:cs="Arial"/>
        </w:rPr>
        <w:t>Ostale usluge  - odnose se na grafičke te tiskarske usluge, obuhvaćaju tisak plakata i ulaznica, grafičke usluge izrade promo materijala za VIRKAS, banneri i memorandumi, povećanje u tekućem izvještajnom razdoblju.</w:t>
      </w:r>
    </w:p>
    <w:p w14:paraId="34DA7114" w14:textId="77777777" w:rsidR="00FA194A" w:rsidRPr="00FA194A" w:rsidRDefault="00FA194A" w:rsidP="00D41731">
      <w:pPr>
        <w:rPr>
          <w:rFonts w:ascii="Arial" w:hAnsi="Arial" w:cs="Arial"/>
        </w:rPr>
      </w:pPr>
    </w:p>
    <w:p w14:paraId="5CED1782" w14:textId="03E545BA" w:rsidR="00FA194A" w:rsidRPr="00FA194A" w:rsidRDefault="00FA194A" w:rsidP="00D41731">
      <w:pPr>
        <w:rPr>
          <w:rFonts w:ascii="Arial" w:hAnsi="Arial" w:cs="Arial"/>
        </w:rPr>
      </w:pPr>
      <w:r w:rsidRPr="00FA194A">
        <w:rPr>
          <w:rFonts w:ascii="Arial" w:hAnsi="Arial" w:cs="Arial"/>
        </w:rPr>
        <w:t>3292 – Premije osiguranja - povećanje u tekućem izvještajnom razdoblju za premije osiguranja zaposlenih, zbog novih djelatnika.</w:t>
      </w:r>
    </w:p>
    <w:p w14:paraId="6CCC9A3D" w14:textId="77777777" w:rsidR="00FA194A" w:rsidRPr="00FA194A" w:rsidRDefault="00FA194A" w:rsidP="00D41731">
      <w:pPr>
        <w:rPr>
          <w:rFonts w:ascii="Arial" w:hAnsi="Arial" w:cs="Arial"/>
        </w:rPr>
      </w:pPr>
    </w:p>
    <w:p w14:paraId="4ABAC73E" w14:textId="4E555F74" w:rsidR="00FA194A" w:rsidRPr="00FA194A" w:rsidRDefault="00FA194A" w:rsidP="00D41731">
      <w:pPr>
        <w:rPr>
          <w:rFonts w:ascii="Arial" w:hAnsi="Arial" w:cs="Arial"/>
        </w:rPr>
      </w:pPr>
      <w:r w:rsidRPr="00FA194A">
        <w:rPr>
          <w:rFonts w:ascii="Arial" w:hAnsi="Arial" w:cs="Arial"/>
        </w:rPr>
        <w:t>3293 – Reprezentacija – u ovom izvještajnom razdoblju, blago smanjenje troškova reprezentacije zbog smanjene potrebe za organizaciju cateringa za premijere te donacija pića.</w:t>
      </w:r>
    </w:p>
    <w:p w14:paraId="5A3D1ED0" w14:textId="77777777" w:rsidR="00FA194A" w:rsidRPr="00FA194A" w:rsidRDefault="00FA194A" w:rsidP="00D41731">
      <w:pPr>
        <w:rPr>
          <w:rFonts w:ascii="Arial" w:hAnsi="Arial" w:cs="Arial"/>
        </w:rPr>
      </w:pPr>
    </w:p>
    <w:p w14:paraId="5F78EEE3" w14:textId="3EA11D57" w:rsidR="00FA194A" w:rsidRPr="00FA194A" w:rsidRDefault="00FA194A" w:rsidP="00D41731">
      <w:pPr>
        <w:rPr>
          <w:rFonts w:ascii="Arial" w:hAnsi="Arial" w:cs="Arial"/>
        </w:rPr>
      </w:pPr>
      <w:r w:rsidRPr="00FA194A">
        <w:rPr>
          <w:rFonts w:ascii="Arial" w:hAnsi="Arial" w:cs="Arial"/>
        </w:rPr>
        <w:t xml:space="preserve">3295 – Pristojbe i naknade – u tekućem izvještajnom razdoblju bilježimo povećanje rashoda pristojbi i naknada zbog povećanja naknade za nezapošljavanje osoba sa invaliditetom. </w:t>
      </w:r>
    </w:p>
    <w:p w14:paraId="0DB59C5D" w14:textId="77777777" w:rsidR="00FA194A" w:rsidRPr="00FA194A" w:rsidRDefault="00FA194A" w:rsidP="00D41731">
      <w:pPr>
        <w:rPr>
          <w:rFonts w:ascii="Arial" w:hAnsi="Arial" w:cs="Arial"/>
        </w:rPr>
      </w:pPr>
    </w:p>
    <w:p w14:paraId="7A22ED8E" w14:textId="77777777" w:rsidR="00AE3A4E" w:rsidRDefault="00AE3A4E" w:rsidP="00AE3A4E">
      <w:pPr>
        <w:spacing w:line="276" w:lineRule="auto"/>
        <w:jc w:val="both"/>
        <w:rPr>
          <w:rFonts w:ascii="Calibri" w:hAnsi="Calibri"/>
        </w:rPr>
      </w:pPr>
      <w:r w:rsidRPr="006A1A35">
        <w:rPr>
          <w:rFonts w:ascii="Calibri" w:hAnsi="Calibri"/>
        </w:rPr>
        <w:lastRenderedPageBreak/>
        <w:t xml:space="preserve">ŠIFRA </w:t>
      </w:r>
      <w:r>
        <w:rPr>
          <w:rFonts w:ascii="Calibri" w:hAnsi="Calibri"/>
        </w:rPr>
        <w:t xml:space="preserve">343 Ostali financijski rashodi u ovoj godini iznose 0,00 EUR. </w:t>
      </w:r>
    </w:p>
    <w:p w14:paraId="2609B45F" w14:textId="77777777" w:rsidR="00FA194A" w:rsidRDefault="00FA194A" w:rsidP="00D41731"/>
    <w:p w14:paraId="35F3DB0F" w14:textId="68B5D1C2" w:rsidR="00AE3A4E" w:rsidRDefault="00AE3A4E" w:rsidP="00AE3A4E">
      <w:pPr>
        <w:spacing w:line="276" w:lineRule="auto"/>
        <w:jc w:val="both"/>
        <w:rPr>
          <w:rFonts w:ascii="Calibri" w:hAnsi="Calibri"/>
        </w:rPr>
      </w:pPr>
      <w:r w:rsidRPr="006A1A35">
        <w:rPr>
          <w:rFonts w:ascii="Calibri" w:hAnsi="Calibri"/>
        </w:rPr>
        <w:t xml:space="preserve">ŠIFRA </w:t>
      </w:r>
      <w:r>
        <w:rPr>
          <w:rFonts w:ascii="Calibri" w:hAnsi="Calibri"/>
        </w:rPr>
        <w:t xml:space="preserve">9661 Nenaplaćeni prihodi poslovanja iznose </w:t>
      </w:r>
      <w:r>
        <w:rPr>
          <w:rFonts w:ascii="Calibri" w:hAnsi="Calibri"/>
        </w:rPr>
        <w:t>14.521,37</w:t>
      </w:r>
      <w:r>
        <w:rPr>
          <w:rFonts w:ascii="Calibri" w:hAnsi="Calibri"/>
        </w:rPr>
        <w:t xml:space="preserve"> EUR.(najam kazališne dvorane, prodaja predstava)</w:t>
      </w:r>
    </w:p>
    <w:p w14:paraId="1757DCD6" w14:textId="77777777" w:rsidR="00AE3A4E" w:rsidRDefault="00AE3A4E" w:rsidP="00AE3A4E">
      <w:pPr>
        <w:spacing w:line="276" w:lineRule="auto"/>
        <w:jc w:val="both"/>
        <w:rPr>
          <w:rFonts w:ascii="Calibri" w:hAnsi="Calibri"/>
        </w:rPr>
      </w:pPr>
    </w:p>
    <w:p w14:paraId="4CAA0F70" w14:textId="03C449A7" w:rsidR="00AE3A4E" w:rsidRDefault="00AE3A4E" w:rsidP="00AE3A4E">
      <w:pPr>
        <w:spacing w:line="276" w:lineRule="auto"/>
        <w:jc w:val="both"/>
        <w:rPr>
          <w:rFonts w:ascii="Calibri" w:hAnsi="Calibri"/>
        </w:rPr>
      </w:pPr>
      <w:r>
        <w:rPr>
          <w:rFonts w:ascii="Calibri" w:hAnsi="Calibri"/>
        </w:rPr>
        <w:t>ŠIFRA 4124 Ostala prava – u tekućem izvještajnom razdoblju povećan rashod za Autorska prava za obradu teksta u svrhu predstave.</w:t>
      </w:r>
    </w:p>
    <w:p w14:paraId="6659EC23" w14:textId="77777777" w:rsidR="00AE3A4E" w:rsidRDefault="00AE3A4E" w:rsidP="00AE3A4E">
      <w:pPr>
        <w:spacing w:line="276" w:lineRule="auto"/>
        <w:jc w:val="both"/>
        <w:rPr>
          <w:rFonts w:ascii="Calibri" w:hAnsi="Calibri"/>
        </w:rPr>
      </w:pPr>
    </w:p>
    <w:p w14:paraId="79BB3C76" w14:textId="78AD3A76" w:rsidR="00AE3A4E" w:rsidRDefault="00AE3A4E" w:rsidP="00AE3A4E">
      <w:pPr>
        <w:spacing w:line="276" w:lineRule="auto"/>
        <w:jc w:val="both"/>
        <w:rPr>
          <w:rFonts w:ascii="Calibri" w:hAnsi="Calibri"/>
        </w:rPr>
      </w:pPr>
      <w:r>
        <w:rPr>
          <w:rFonts w:ascii="Calibri" w:hAnsi="Calibri"/>
        </w:rPr>
        <w:t>ŠIFRA 451 – Dodatna ulaganja na građevinskim objektima – u ovom izvještajnom razdoblju Kazalištu je izm</w:t>
      </w:r>
      <w:r w:rsidR="007F00CD">
        <w:rPr>
          <w:rFonts w:ascii="Calibri" w:hAnsi="Calibri"/>
        </w:rPr>
        <w:t>ij</w:t>
      </w:r>
      <w:r>
        <w:rPr>
          <w:rFonts w:ascii="Calibri" w:hAnsi="Calibri"/>
        </w:rPr>
        <w:t xml:space="preserve">enjen dio krovišta, odnosno dio krovišta iznad ulaza. Iznos od 12.693,75 EUR utrošen na izmjenu krovišta dijelom je sufinanciralo Ministarstvo kulture i medija u iznosu od 8.000,00 dok je ostatak od 4.693,75 EUR sufinancirao naš osnivač, odnosno Grad Virovitica. </w:t>
      </w:r>
    </w:p>
    <w:p w14:paraId="50AFBB00" w14:textId="77777777" w:rsidR="00AE3A4E" w:rsidRDefault="00AE3A4E" w:rsidP="00AE3A4E">
      <w:pPr>
        <w:spacing w:line="276" w:lineRule="auto"/>
        <w:jc w:val="both"/>
        <w:rPr>
          <w:rFonts w:ascii="Calibri" w:hAnsi="Calibri"/>
        </w:rPr>
      </w:pPr>
    </w:p>
    <w:p w14:paraId="212AFD39" w14:textId="1F022EE5" w:rsidR="00AE3A4E" w:rsidRPr="006A1A35" w:rsidRDefault="00AE3A4E" w:rsidP="00AE3A4E">
      <w:pPr>
        <w:spacing w:line="276" w:lineRule="auto"/>
        <w:jc w:val="both"/>
        <w:rPr>
          <w:rFonts w:ascii="Calibri" w:hAnsi="Calibri"/>
        </w:rPr>
      </w:pPr>
    </w:p>
    <w:p w14:paraId="094147A1" w14:textId="11AB13C7" w:rsidR="00AE3A4E" w:rsidRDefault="00AE3A4E" w:rsidP="00AE3A4E">
      <w:pPr>
        <w:spacing w:line="276" w:lineRule="auto"/>
        <w:jc w:val="both"/>
        <w:rPr>
          <w:rFonts w:ascii="Calibri" w:hAnsi="Calibri"/>
        </w:rPr>
      </w:pPr>
      <w:r w:rsidRPr="005E1E86">
        <w:rPr>
          <w:rFonts w:ascii="Calibri" w:hAnsi="Calibri"/>
        </w:rPr>
        <w:t xml:space="preserve">ŠIFRA X678 Ukupni prihodi i primici veći su za </w:t>
      </w:r>
      <w:r w:rsidR="00AD448D">
        <w:rPr>
          <w:rFonts w:ascii="Calibri" w:hAnsi="Calibri"/>
        </w:rPr>
        <w:t>166.107,40</w:t>
      </w:r>
      <w:r>
        <w:rPr>
          <w:rFonts w:ascii="Calibri" w:hAnsi="Calibri"/>
        </w:rPr>
        <w:t xml:space="preserve"> EUR</w:t>
      </w:r>
      <w:r w:rsidRPr="005E1E86">
        <w:rPr>
          <w:rFonts w:ascii="Calibri" w:hAnsi="Calibri"/>
        </w:rPr>
        <w:t xml:space="preserve"> u odnosu na promatrano razdoblje</w:t>
      </w:r>
      <w:r>
        <w:rPr>
          <w:rFonts w:ascii="Calibri" w:hAnsi="Calibri"/>
        </w:rPr>
        <w:t xml:space="preserve"> </w:t>
      </w:r>
      <w:r w:rsidRPr="005E1E86">
        <w:rPr>
          <w:rFonts w:ascii="Calibri" w:hAnsi="Calibri"/>
        </w:rPr>
        <w:t>prošle godine i iznose</w:t>
      </w:r>
      <w:r>
        <w:rPr>
          <w:rFonts w:ascii="Calibri" w:hAnsi="Calibri"/>
        </w:rPr>
        <w:t xml:space="preserve"> </w:t>
      </w:r>
      <w:r w:rsidR="00AD448D">
        <w:rPr>
          <w:rFonts w:ascii="Calibri" w:hAnsi="Calibri"/>
        </w:rPr>
        <w:t>1.057.646,93</w:t>
      </w:r>
      <w:r w:rsidRPr="005E1E86">
        <w:rPr>
          <w:rFonts w:ascii="Calibri" w:hAnsi="Calibri"/>
        </w:rPr>
        <w:t xml:space="preserve"> </w:t>
      </w:r>
      <w:r>
        <w:rPr>
          <w:rFonts w:ascii="Calibri" w:hAnsi="Calibri"/>
        </w:rPr>
        <w:t>EUR</w:t>
      </w:r>
      <w:r w:rsidRPr="005E1E86">
        <w:rPr>
          <w:rFonts w:ascii="Calibri" w:hAnsi="Calibri"/>
        </w:rPr>
        <w:t>. U promatranom razdoblju prethodne godine ukupni</w:t>
      </w:r>
      <w:r>
        <w:rPr>
          <w:rFonts w:ascii="Calibri" w:hAnsi="Calibri"/>
        </w:rPr>
        <w:t xml:space="preserve"> </w:t>
      </w:r>
      <w:r w:rsidRPr="005E1E86">
        <w:rPr>
          <w:rFonts w:ascii="Calibri" w:hAnsi="Calibri"/>
        </w:rPr>
        <w:t xml:space="preserve">prihodi i primici iznosili su </w:t>
      </w:r>
      <w:r w:rsidR="00AD448D">
        <w:rPr>
          <w:rFonts w:ascii="Calibri" w:hAnsi="Calibri"/>
        </w:rPr>
        <w:t>891.539,53</w:t>
      </w:r>
      <w:r w:rsidR="00AD448D" w:rsidRPr="005E1E86">
        <w:rPr>
          <w:rFonts w:ascii="Calibri" w:hAnsi="Calibri"/>
        </w:rPr>
        <w:t xml:space="preserve"> </w:t>
      </w:r>
      <w:r>
        <w:rPr>
          <w:rFonts w:ascii="Calibri" w:hAnsi="Calibri"/>
        </w:rPr>
        <w:t>EUR</w:t>
      </w:r>
      <w:r w:rsidRPr="005E1E86">
        <w:rPr>
          <w:rFonts w:ascii="Calibri" w:hAnsi="Calibri"/>
        </w:rPr>
        <w:t>.</w:t>
      </w:r>
    </w:p>
    <w:p w14:paraId="2865AFC0" w14:textId="77777777" w:rsidR="00AE3A4E" w:rsidRDefault="00AE3A4E" w:rsidP="00AE3A4E">
      <w:pPr>
        <w:spacing w:line="276" w:lineRule="auto"/>
        <w:jc w:val="both"/>
        <w:rPr>
          <w:rFonts w:ascii="Calibri" w:hAnsi="Calibri"/>
        </w:rPr>
      </w:pPr>
    </w:p>
    <w:p w14:paraId="60141E6F" w14:textId="4125A7B1" w:rsidR="00AE3A4E" w:rsidRDefault="00AE3A4E" w:rsidP="00AE3A4E">
      <w:pPr>
        <w:spacing w:line="276" w:lineRule="auto"/>
        <w:jc w:val="both"/>
        <w:rPr>
          <w:rFonts w:ascii="Calibri" w:hAnsi="Calibri"/>
        </w:rPr>
      </w:pPr>
    </w:p>
    <w:p w14:paraId="7EE05F50" w14:textId="711E90A6" w:rsidR="00AE3A4E" w:rsidRDefault="00AE3A4E" w:rsidP="00AE3A4E">
      <w:pPr>
        <w:spacing w:line="276" w:lineRule="auto"/>
        <w:jc w:val="both"/>
        <w:rPr>
          <w:rFonts w:ascii="Calibri" w:hAnsi="Calibri"/>
        </w:rPr>
      </w:pPr>
      <w:r w:rsidRPr="005E1E86">
        <w:rPr>
          <w:rFonts w:ascii="Calibri" w:hAnsi="Calibri"/>
        </w:rPr>
        <w:t xml:space="preserve">ŠIFRA Y345 Ukupni rashodi i izdaci veći su za </w:t>
      </w:r>
      <w:r w:rsidR="00EF7BD0">
        <w:rPr>
          <w:rFonts w:ascii="Calibri" w:hAnsi="Calibri"/>
        </w:rPr>
        <w:t>116.400,99</w:t>
      </w:r>
      <w:r>
        <w:rPr>
          <w:rFonts w:ascii="Calibri" w:hAnsi="Calibri"/>
        </w:rPr>
        <w:t xml:space="preserve"> EUR</w:t>
      </w:r>
      <w:r w:rsidRPr="005E1E86">
        <w:rPr>
          <w:rFonts w:ascii="Calibri" w:hAnsi="Calibri"/>
        </w:rPr>
        <w:t xml:space="preserve"> iznosu u odnosu na prošlu godinu. U</w:t>
      </w:r>
      <w:r>
        <w:rPr>
          <w:rFonts w:ascii="Calibri" w:hAnsi="Calibri"/>
        </w:rPr>
        <w:t xml:space="preserve"> </w:t>
      </w:r>
      <w:r w:rsidRPr="005E1E86">
        <w:rPr>
          <w:rFonts w:ascii="Calibri" w:hAnsi="Calibri"/>
        </w:rPr>
        <w:t xml:space="preserve">promatranom razdoblju prethodne godine ukupni rashodi i izdaci iznosili su </w:t>
      </w:r>
      <w:r w:rsidR="00AD448D">
        <w:rPr>
          <w:rFonts w:ascii="Calibri" w:hAnsi="Calibri"/>
        </w:rPr>
        <w:t>930.282,04</w:t>
      </w:r>
      <w:r w:rsidR="00AD448D">
        <w:rPr>
          <w:rFonts w:ascii="Calibri" w:hAnsi="Calibri"/>
        </w:rPr>
        <w:t xml:space="preserve"> </w:t>
      </w:r>
      <w:r>
        <w:rPr>
          <w:rFonts w:ascii="Calibri" w:hAnsi="Calibri"/>
        </w:rPr>
        <w:t>EUR</w:t>
      </w:r>
      <w:r w:rsidRPr="005E1E86">
        <w:rPr>
          <w:rFonts w:ascii="Calibri" w:hAnsi="Calibri"/>
        </w:rPr>
        <w:t>,</w:t>
      </w:r>
      <w:r>
        <w:rPr>
          <w:rFonts w:ascii="Calibri" w:hAnsi="Calibri"/>
        </w:rPr>
        <w:t xml:space="preserve"> </w:t>
      </w:r>
      <w:r w:rsidRPr="005E1E86">
        <w:rPr>
          <w:rFonts w:ascii="Calibri" w:hAnsi="Calibri"/>
        </w:rPr>
        <w:t xml:space="preserve">a ove godine iznose </w:t>
      </w:r>
      <w:r w:rsidR="00AD448D">
        <w:rPr>
          <w:rFonts w:ascii="Calibri" w:hAnsi="Calibri"/>
        </w:rPr>
        <w:t>1.046.683,03</w:t>
      </w:r>
      <w:r w:rsidR="00EF7BD0">
        <w:rPr>
          <w:rFonts w:ascii="Calibri" w:hAnsi="Calibri"/>
        </w:rPr>
        <w:t xml:space="preserve"> </w:t>
      </w:r>
      <w:r>
        <w:rPr>
          <w:rFonts w:ascii="Calibri" w:hAnsi="Calibri"/>
        </w:rPr>
        <w:t>EUR</w:t>
      </w:r>
      <w:r w:rsidR="00EF7BD0">
        <w:rPr>
          <w:rFonts w:ascii="Calibri" w:hAnsi="Calibri"/>
        </w:rPr>
        <w:t>.</w:t>
      </w:r>
    </w:p>
    <w:p w14:paraId="00B57BD9" w14:textId="77777777" w:rsidR="00AE3A4E" w:rsidRDefault="00AE3A4E" w:rsidP="00AE3A4E">
      <w:pPr>
        <w:spacing w:line="276" w:lineRule="auto"/>
        <w:jc w:val="both"/>
        <w:rPr>
          <w:rFonts w:ascii="Calibri" w:hAnsi="Calibri"/>
        </w:rPr>
      </w:pPr>
    </w:p>
    <w:p w14:paraId="008A0EB8" w14:textId="785E4D8B" w:rsidR="00AE3A4E" w:rsidRDefault="00AE3A4E" w:rsidP="00AE3A4E">
      <w:pPr>
        <w:spacing w:line="276" w:lineRule="auto"/>
        <w:jc w:val="both"/>
        <w:rPr>
          <w:rFonts w:ascii="Calibri" w:hAnsi="Calibri"/>
        </w:rPr>
      </w:pPr>
      <w:r w:rsidRPr="005E1E86">
        <w:rPr>
          <w:rFonts w:ascii="Calibri" w:hAnsi="Calibri"/>
        </w:rPr>
        <w:t xml:space="preserve">ŠIFRA </w:t>
      </w:r>
      <w:r>
        <w:rPr>
          <w:rFonts w:ascii="Calibri" w:hAnsi="Calibri"/>
        </w:rPr>
        <w:t xml:space="preserve">Y006 Manjak prihoda i primitaka za pokriće u sljedećem razdoblju iznosi </w:t>
      </w:r>
      <w:r>
        <w:rPr>
          <w:rFonts w:ascii="Calibri" w:hAnsi="Calibri"/>
        </w:rPr>
        <w:t>13.713,30</w:t>
      </w:r>
      <w:r>
        <w:rPr>
          <w:rFonts w:ascii="Calibri" w:hAnsi="Calibri"/>
        </w:rPr>
        <w:t xml:space="preserve"> EUR i u cijelosti se odnosi na metodološki manjak odnosno sistem priznavanja prihoda od poreza. Metodološki manjak se automatski zatvara uplatom obveza  0</w:t>
      </w:r>
      <w:r>
        <w:rPr>
          <w:rFonts w:ascii="Calibri" w:hAnsi="Calibri"/>
        </w:rPr>
        <w:t>5</w:t>
      </w:r>
      <w:r>
        <w:rPr>
          <w:rFonts w:ascii="Calibri" w:hAnsi="Calibri"/>
        </w:rPr>
        <w:t>.01.2025. godine.</w:t>
      </w:r>
    </w:p>
    <w:p w14:paraId="4B636C6E" w14:textId="77777777" w:rsidR="00AE3A4E" w:rsidRDefault="00AE3A4E" w:rsidP="00AE3A4E">
      <w:pPr>
        <w:spacing w:line="276" w:lineRule="auto"/>
        <w:jc w:val="both"/>
        <w:rPr>
          <w:rFonts w:ascii="Calibri" w:hAnsi="Calibri"/>
        </w:rPr>
      </w:pPr>
    </w:p>
    <w:p w14:paraId="7A518D36" w14:textId="00DCE1B3" w:rsidR="00AE3A4E" w:rsidRDefault="00AE3A4E" w:rsidP="00AE3A4E">
      <w:pPr>
        <w:spacing w:line="276" w:lineRule="auto"/>
        <w:jc w:val="both"/>
        <w:rPr>
          <w:rFonts w:ascii="Calibri" w:hAnsi="Calibri"/>
        </w:rPr>
      </w:pPr>
      <w:r w:rsidRPr="00F92A90">
        <w:rPr>
          <w:rFonts w:ascii="Calibri" w:hAnsi="Calibri"/>
        </w:rPr>
        <w:t>Prosječan broj zaposlenih kod korisnika na osnovi stanja na početku i na kraju izvještajnog</w:t>
      </w:r>
      <w:r>
        <w:rPr>
          <w:rFonts w:ascii="Calibri" w:hAnsi="Calibri"/>
        </w:rPr>
        <w:t xml:space="preserve"> r</w:t>
      </w:r>
      <w:r w:rsidRPr="00F92A90">
        <w:rPr>
          <w:rFonts w:ascii="Calibri" w:hAnsi="Calibri"/>
        </w:rPr>
        <w:t xml:space="preserve">azdoblja u promatranom razdoblju bio je </w:t>
      </w:r>
      <w:r>
        <w:rPr>
          <w:rFonts w:ascii="Calibri" w:hAnsi="Calibri"/>
        </w:rPr>
        <w:t xml:space="preserve">26. </w:t>
      </w:r>
    </w:p>
    <w:p w14:paraId="25A34103" w14:textId="77777777" w:rsidR="00AE3A4E" w:rsidRDefault="00AE3A4E" w:rsidP="00AE3A4E">
      <w:pPr>
        <w:spacing w:line="276" w:lineRule="auto"/>
        <w:jc w:val="both"/>
        <w:rPr>
          <w:rFonts w:ascii="Calibri" w:hAnsi="Calibri"/>
        </w:rPr>
      </w:pPr>
    </w:p>
    <w:p w14:paraId="65640285" w14:textId="77777777" w:rsidR="00EF7BD0" w:rsidRDefault="00EF7BD0" w:rsidP="00AE3A4E">
      <w:pPr>
        <w:spacing w:line="276" w:lineRule="auto"/>
        <w:jc w:val="both"/>
        <w:rPr>
          <w:rFonts w:ascii="Calibri" w:hAnsi="Calibri"/>
        </w:rPr>
      </w:pPr>
    </w:p>
    <w:p w14:paraId="785EC4D3" w14:textId="1C04209E" w:rsidR="00AE3A4E" w:rsidRDefault="00AE3A4E" w:rsidP="00AE3A4E">
      <w:pPr>
        <w:spacing w:line="276" w:lineRule="auto"/>
        <w:jc w:val="both"/>
        <w:rPr>
          <w:rFonts w:ascii="Calibri" w:hAnsi="Calibri"/>
        </w:rPr>
      </w:pPr>
      <w:r>
        <w:rPr>
          <w:rFonts w:ascii="Calibri" w:hAnsi="Calibri"/>
        </w:rPr>
        <w:t xml:space="preserve">Šifra 63612-63622 Tekuće pomoći iz državnog proračuna PK iznose </w:t>
      </w:r>
      <w:r w:rsidR="00EF7BD0">
        <w:rPr>
          <w:rFonts w:ascii="Calibri" w:hAnsi="Calibri"/>
        </w:rPr>
        <w:t>112.894,31</w:t>
      </w:r>
      <w:r>
        <w:rPr>
          <w:rFonts w:ascii="Calibri" w:hAnsi="Calibri"/>
        </w:rPr>
        <w:t xml:space="preserve"> EUR. Tekuće pomoći PK iz proračuna koji im nije nadležan iznose </w:t>
      </w:r>
      <w:r w:rsidR="00EF7BD0">
        <w:rPr>
          <w:rFonts w:ascii="Calibri" w:hAnsi="Calibri"/>
        </w:rPr>
        <w:t>284.300</w:t>
      </w:r>
      <w:r>
        <w:rPr>
          <w:rFonts w:ascii="Calibri" w:hAnsi="Calibri"/>
        </w:rPr>
        <w:t xml:space="preserve">,00 EUR. Kapitalnih pomoći iz državnog proračuna proračunskim korisnicima </w:t>
      </w:r>
      <w:r w:rsidR="00EF7BD0">
        <w:rPr>
          <w:rFonts w:ascii="Calibri" w:hAnsi="Calibri"/>
        </w:rPr>
        <w:t>u ovom izvještajnom razdoblju iznose 8.000,00</w:t>
      </w:r>
      <w:r>
        <w:rPr>
          <w:rFonts w:ascii="Calibri" w:hAnsi="Calibri"/>
        </w:rPr>
        <w:t>.</w:t>
      </w:r>
    </w:p>
    <w:p w14:paraId="75A3346B" w14:textId="77777777" w:rsidR="00AE3A4E" w:rsidRDefault="00AE3A4E" w:rsidP="00AE3A4E">
      <w:pPr>
        <w:spacing w:line="276" w:lineRule="auto"/>
        <w:jc w:val="both"/>
        <w:rPr>
          <w:rFonts w:ascii="Calibri" w:hAnsi="Calibri"/>
        </w:rPr>
      </w:pPr>
    </w:p>
    <w:p w14:paraId="1A08D43A" w14:textId="75454AAC" w:rsidR="00FA194A" w:rsidRDefault="007F00CD" w:rsidP="00D41731">
      <w:r>
        <w:t xml:space="preserve">Šifra 65264 – Sufinanciranje cijene usluge, participacije i </w:t>
      </w:r>
      <w:proofErr w:type="spellStart"/>
      <w:r>
        <w:t>sl</w:t>
      </w:r>
      <w:proofErr w:type="spellEnd"/>
      <w:r>
        <w:t xml:space="preserve"> – iznose 35.389,80 EUR dok su u prošlom izvještajnom razdoblju iznosile 27.895,61 EUR.</w:t>
      </w:r>
    </w:p>
    <w:p w14:paraId="2BC3ED03" w14:textId="77777777" w:rsidR="007F00CD" w:rsidRDefault="007F00CD" w:rsidP="00D41731"/>
    <w:p w14:paraId="4B7E5B6D" w14:textId="77777777" w:rsidR="007F00CD" w:rsidRDefault="007F00CD" w:rsidP="00D41731"/>
    <w:p w14:paraId="40B1025B" w14:textId="77777777" w:rsidR="007F00CD" w:rsidRDefault="007F00CD" w:rsidP="00D41731"/>
    <w:p w14:paraId="5A0CA2D4" w14:textId="77777777" w:rsidR="007F00CD" w:rsidRDefault="007F00CD" w:rsidP="00D41731"/>
    <w:p w14:paraId="014AA4FE" w14:textId="77777777" w:rsidR="007F00CD" w:rsidRDefault="007F00CD" w:rsidP="00D41731"/>
    <w:p w14:paraId="7D6C92C0" w14:textId="77777777" w:rsidR="007F00CD" w:rsidRDefault="007F00CD" w:rsidP="00D41731"/>
    <w:p w14:paraId="3D77DBEB" w14:textId="77777777" w:rsidR="007F00CD" w:rsidRDefault="007F00CD" w:rsidP="00D41731"/>
    <w:p w14:paraId="467D3AE7" w14:textId="77777777" w:rsidR="007F00CD" w:rsidRDefault="007F00CD" w:rsidP="007F00CD">
      <w:pPr>
        <w:spacing w:line="276" w:lineRule="auto"/>
        <w:jc w:val="both"/>
        <w:rPr>
          <w:rFonts w:asciiTheme="minorHAnsi" w:hAnsiTheme="minorHAnsi"/>
          <w:b/>
          <w:bCs/>
        </w:rPr>
      </w:pPr>
      <w:r>
        <w:rPr>
          <w:rFonts w:asciiTheme="minorHAnsi" w:hAnsiTheme="minorHAnsi"/>
          <w:b/>
          <w:bCs/>
        </w:rPr>
        <w:t>2. IZVJEŠTAJ BILANCA</w:t>
      </w:r>
    </w:p>
    <w:p w14:paraId="4D497C1F" w14:textId="77777777" w:rsidR="007F00CD" w:rsidRDefault="007F00CD" w:rsidP="007F00CD">
      <w:pPr>
        <w:spacing w:line="276" w:lineRule="auto"/>
        <w:jc w:val="both"/>
        <w:rPr>
          <w:rFonts w:asciiTheme="minorHAnsi" w:hAnsiTheme="minorHAnsi"/>
          <w:b/>
          <w:bCs/>
        </w:rPr>
      </w:pPr>
    </w:p>
    <w:p w14:paraId="7AF4A817" w14:textId="66FF6639" w:rsidR="007F00CD" w:rsidRDefault="007F00CD" w:rsidP="007F00CD">
      <w:pPr>
        <w:spacing w:line="276" w:lineRule="auto"/>
        <w:jc w:val="both"/>
        <w:rPr>
          <w:rFonts w:asciiTheme="minorHAnsi" w:hAnsiTheme="minorHAnsi"/>
        </w:rPr>
      </w:pPr>
      <w:r w:rsidRPr="007F25F5">
        <w:rPr>
          <w:rFonts w:asciiTheme="minorHAnsi" w:hAnsiTheme="minorHAnsi"/>
        </w:rPr>
        <w:t>ŠIFRA 02</w:t>
      </w:r>
      <w:r>
        <w:rPr>
          <w:rFonts w:asciiTheme="minorHAnsi" w:hAnsiTheme="minorHAnsi"/>
        </w:rPr>
        <w:t>921</w:t>
      </w:r>
      <w:r>
        <w:rPr>
          <w:rFonts w:asciiTheme="minorHAnsi" w:hAnsiTheme="minorHAnsi"/>
        </w:rPr>
        <w:t xml:space="preserve"> Ostali građevinski objekti, povećava se ispravak vrijednosti građevinskog objekta zbog obračuna amortizacije zgrade Kazališta za 202</w:t>
      </w:r>
      <w:r>
        <w:rPr>
          <w:rFonts w:asciiTheme="minorHAnsi" w:hAnsiTheme="minorHAnsi"/>
        </w:rPr>
        <w:t>5</w:t>
      </w:r>
      <w:r>
        <w:rPr>
          <w:rFonts w:ascii="Calibri" w:hAnsi="Calibri"/>
        </w:rPr>
        <w:t>.</w:t>
      </w:r>
      <w:r>
        <w:rPr>
          <w:rFonts w:asciiTheme="minorHAnsi" w:hAnsiTheme="minorHAnsi"/>
        </w:rPr>
        <w:t xml:space="preserve"> godinu. </w:t>
      </w:r>
    </w:p>
    <w:p w14:paraId="7D8553DC" w14:textId="77777777" w:rsidR="007F00CD" w:rsidRPr="007F25F5" w:rsidRDefault="007F00CD" w:rsidP="007F00CD">
      <w:pPr>
        <w:spacing w:line="276" w:lineRule="auto"/>
        <w:jc w:val="both"/>
        <w:rPr>
          <w:rFonts w:asciiTheme="minorHAnsi" w:hAnsiTheme="minorHAnsi"/>
        </w:rPr>
      </w:pPr>
    </w:p>
    <w:p w14:paraId="332E66F7" w14:textId="04D74E20" w:rsidR="007F00CD" w:rsidRDefault="007F00CD" w:rsidP="007F00CD">
      <w:pPr>
        <w:spacing w:line="276" w:lineRule="auto"/>
        <w:jc w:val="both"/>
        <w:rPr>
          <w:rFonts w:asciiTheme="minorHAnsi" w:hAnsiTheme="minorHAnsi"/>
        </w:rPr>
      </w:pPr>
      <w:r w:rsidRPr="007F25F5">
        <w:rPr>
          <w:rFonts w:asciiTheme="minorHAnsi" w:hAnsiTheme="minorHAnsi"/>
        </w:rPr>
        <w:t>ŠIFRA 0292</w:t>
      </w:r>
      <w:r>
        <w:rPr>
          <w:rFonts w:asciiTheme="minorHAnsi" w:hAnsiTheme="minorHAnsi"/>
        </w:rPr>
        <w:t>2</w:t>
      </w:r>
      <w:r w:rsidRPr="007F25F5">
        <w:rPr>
          <w:rFonts w:asciiTheme="minorHAnsi" w:hAnsiTheme="minorHAnsi"/>
        </w:rPr>
        <w:t xml:space="preserve"> Povećava se ispravak vrijednosti </w:t>
      </w:r>
      <w:r>
        <w:rPr>
          <w:rFonts w:asciiTheme="minorHAnsi" w:hAnsiTheme="minorHAnsi"/>
        </w:rPr>
        <w:t>postrojenja i opreme</w:t>
      </w:r>
      <w:r w:rsidRPr="007F25F5">
        <w:rPr>
          <w:rFonts w:asciiTheme="minorHAnsi" w:hAnsiTheme="minorHAnsi"/>
        </w:rPr>
        <w:t xml:space="preserve"> za obračun amortizacije 202</w:t>
      </w:r>
      <w:r>
        <w:rPr>
          <w:rFonts w:asciiTheme="minorHAnsi" w:hAnsiTheme="minorHAnsi"/>
        </w:rPr>
        <w:t>5</w:t>
      </w:r>
      <w:r w:rsidRPr="007F25F5">
        <w:rPr>
          <w:rFonts w:asciiTheme="minorHAnsi" w:hAnsiTheme="minorHAnsi"/>
        </w:rPr>
        <w:t>. godine.</w:t>
      </w:r>
    </w:p>
    <w:p w14:paraId="12FB5F84" w14:textId="77777777" w:rsidR="007F00CD" w:rsidRPr="007F25F5" w:rsidRDefault="007F00CD" w:rsidP="007F00CD">
      <w:pPr>
        <w:spacing w:line="276" w:lineRule="auto"/>
        <w:jc w:val="both"/>
        <w:rPr>
          <w:rFonts w:asciiTheme="minorHAnsi" w:hAnsiTheme="minorHAnsi"/>
        </w:rPr>
      </w:pPr>
    </w:p>
    <w:p w14:paraId="1630EFC5" w14:textId="631F4CE4" w:rsidR="007F00CD" w:rsidRDefault="007F00CD" w:rsidP="007F00CD">
      <w:pPr>
        <w:spacing w:line="276" w:lineRule="auto"/>
        <w:jc w:val="both"/>
        <w:rPr>
          <w:rFonts w:asciiTheme="minorHAnsi" w:hAnsiTheme="minorHAnsi"/>
        </w:rPr>
      </w:pPr>
      <w:r>
        <w:rPr>
          <w:rFonts w:asciiTheme="minorHAnsi" w:hAnsiTheme="minorHAnsi"/>
        </w:rPr>
        <w:t>Šifra 0212 – Poslovni objekti – povećanje za rashod rekonstrukcije dijela krovišta.</w:t>
      </w:r>
    </w:p>
    <w:p w14:paraId="1BA38DB7" w14:textId="77777777" w:rsidR="007F00CD" w:rsidRDefault="007F00CD" w:rsidP="007F00CD">
      <w:pPr>
        <w:spacing w:line="276" w:lineRule="auto"/>
        <w:jc w:val="both"/>
        <w:rPr>
          <w:rFonts w:asciiTheme="minorHAnsi" w:hAnsiTheme="minorHAnsi"/>
        </w:rPr>
      </w:pPr>
    </w:p>
    <w:p w14:paraId="366C874B" w14:textId="647AE3F2" w:rsidR="007F00CD" w:rsidRPr="007F25F5" w:rsidRDefault="007F00CD" w:rsidP="007F00CD">
      <w:pPr>
        <w:spacing w:line="276" w:lineRule="auto"/>
        <w:jc w:val="both"/>
        <w:rPr>
          <w:rFonts w:asciiTheme="minorHAnsi" w:hAnsiTheme="minorHAnsi"/>
        </w:rPr>
      </w:pPr>
      <w:r w:rsidRPr="007F25F5">
        <w:rPr>
          <w:rFonts w:asciiTheme="minorHAnsi" w:hAnsiTheme="minorHAnsi"/>
        </w:rPr>
        <w:t xml:space="preserve">ŠIFRA 042 Povećava se sitni inventar i auto gume u upotrebi </w:t>
      </w:r>
      <w:r>
        <w:rPr>
          <w:rFonts w:asciiTheme="minorHAnsi" w:hAnsiTheme="minorHAnsi"/>
        </w:rPr>
        <w:t xml:space="preserve"> sa 16.769,81 EUR na </w:t>
      </w:r>
      <w:r>
        <w:rPr>
          <w:rFonts w:asciiTheme="minorHAnsi" w:hAnsiTheme="minorHAnsi"/>
        </w:rPr>
        <w:t>18.651,13</w:t>
      </w:r>
      <w:r>
        <w:rPr>
          <w:rFonts w:asciiTheme="minorHAnsi" w:hAnsiTheme="minorHAnsi"/>
        </w:rPr>
        <w:t xml:space="preserve"> EUR.  </w:t>
      </w:r>
      <w:r w:rsidRPr="007F25F5">
        <w:rPr>
          <w:rFonts w:asciiTheme="minorHAnsi" w:hAnsiTheme="minorHAnsi"/>
        </w:rPr>
        <w:t xml:space="preserve">Odnosi se na </w:t>
      </w:r>
      <w:r>
        <w:rPr>
          <w:rFonts w:asciiTheme="minorHAnsi" w:hAnsiTheme="minorHAnsi"/>
        </w:rPr>
        <w:t>nabavljen</w:t>
      </w:r>
      <w:r w:rsidR="00F8724F">
        <w:rPr>
          <w:rFonts w:asciiTheme="minorHAnsi" w:hAnsiTheme="minorHAnsi"/>
        </w:rPr>
        <w:t xml:space="preserve"> usisivač, perilicu suđa, </w:t>
      </w:r>
      <w:proofErr w:type="spellStart"/>
      <w:r w:rsidR="00F8724F">
        <w:rPr>
          <w:rFonts w:asciiTheme="minorHAnsi" w:hAnsiTheme="minorHAnsi"/>
        </w:rPr>
        <w:t>dimmere</w:t>
      </w:r>
      <w:proofErr w:type="spellEnd"/>
      <w:r w:rsidR="00F8724F">
        <w:rPr>
          <w:rFonts w:asciiTheme="minorHAnsi" w:hAnsiTheme="minorHAnsi"/>
        </w:rPr>
        <w:t xml:space="preserve"> za rasvjetu.</w:t>
      </w:r>
    </w:p>
    <w:p w14:paraId="7C8F15F2" w14:textId="77777777" w:rsidR="007F00CD" w:rsidRPr="007F25F5" w:rsidRDefault="007F00CD" w:rsidP="007F00CD">
      <w:pPr>
        <w:spacing w:line="276" w:lineRule="auto"/>
        <w:jc w:val="both"/>
        <w:rPr>
          <w:rFonts w:asciiTheme="minorHAnsi" w:hAnsiTheme="minorHAnsi"/>
        </w:rPr>
      </w:pPr>
    </w:p>
    <w:p w14:paraId="623B8BDC" w14:textId="77777777" w:rsidR="007F00CD" w:rsidRDefault="007F00CD" w:rsidP="007F00CD">
      <w:pPr>
        <w:spacing w:line="276" w:lineRule="auto"/>
        <w:jc w:val="both"/>
        <w:rPr>
          <w:rFonts w:asciiTheme="minorHAnsi" w:hAnsiTheme="minorHAnsi"/>
        </w:rPr>
      </w:pPr>
      <w:r w:rsidRPr="007F25F5">
        <w:rPr>
          <w:rFonts w:asciiTheme="minorHAnsi" w:hAnsiTheme="minorHAnsi"/>
        </w:rPr>
        <w:t xml:space="preserve">ŠIFRA 049 </w:t>
      </w:r>
      <w:r>
        <w:rPr>
          <w:rFonts w:asciiTheme="minorHAnsi" w:hAnsiTheme="minorHAnsi"/>
        </w:rPr>
        <w:t>Sukladno povećanju sitnog inventara, p</w:t>
      </w:r>
      <w:r w:rsidRPr="007F25F5">
        <w:rPr>
          <w:rFonts w:asciiTheme="minorHAnsi" w:hAnsiTheme="minorHAnsi"/>
        </w:rPr>
        <w:t>ovećava se</w:t>
      </w:r>
      <w:r>
        <w:rPr>
          <w:rFonts w:asciiTheme="minorHAnsi" w:hAnsiTheme="minorHAnsi"/>
        </w:rPr>
        <w:t xml:space="preserve"> i</w:t>
      </w:r>
      <w:r w:rsidRPr="007F25F5">
        <w:rPr>
          <w:rFonts w:asciiTheme="minorHAnsi" w:hAnsiTheme="minorHAnsi"/>
        </w:rPr>
        <w:t xml:space="preserve"> ispravak vrijednosti sitnog inventara </w:t>
      </w:r>
      <w:r>
        <w:rPr>
          <w:rFonts w:asciiTheme="minorHAnsi" w:hAnsiTheme="minorHAnsi"/>
        </w:rPr>
        <w:t>za isti iznos .</w:t>
      </w:r>
    </w:p>
    <w:p w14:paraId="2171552F" w14:textId="77777777" w:rsidR="007F00CD" w:rsidRDefault="007F00CD" w:rsidP="007F00CD">
      <w:pPr>
        <w:spacing w:line="276" w:lineRule="auto"/>
        <w:jc w:val="both"/>
        <w:rPr>
          <w:rFonts w:asciiTheme="minorHAnsi" w:hAnsiTheme="minorHAnsi"/>
        </w:rPr>
      </w:pPr>
    </w:p>
    <w:p w14:paraId="3B245487" w14:textId="6D012B1C" w:rsidR="007F00CD" w:rsidRDefault="007F00CD" w:rsidP="007F00CD">
      <w:pPr>
        <w:spacing w:line="276" w:lineRule="auto"/>
        <w:jc w:val="both"/>
        <w:rPr>
          <w:rFonts w:asciiTheme="minorHAnsi" w:hAnsiTheme="minorHAnsi"/>
        </w:rPr>
      </w:pPr>
      <w:r w:rsidRPr="000D6973">
        <w:rPr>
          <w:rFonts w:asciiTheme="minorHAnsi" w:hAnsiTheme="minorHAnsi"/>
        </w:rPr>
        <w:t xml:space="preserve">ŠIFRA 129 Ostala potraživanja na početku razdoblja su iznosila </w:t>
      </w:r>
      <w:r w:rsidR="00F8724F">
        <w:rPr>
          <w:rFonts w:asciiTheme="minorHAnsi" w:hAnsiTheme="minorHAnsi"/>
        </w:rPr>
        <w:t>0,00</w:t>
      </w:r>
      <w:r w:rsidRPr="000D6973">
        <w:rPr>
          <w:rFonts w:asciiTheme="minorHAnsi" w:hAnsiTheme="minorHAnsi"/>
        </w:rPr>
        <w:t xml:space="preserve"> </w:t>
      </w:r>
      <w:r>
        <w:rPr>
          <w:rFonts w:asciiTheme="minorHAnsi" w:hAnsiTheme="minorHAnsi"/>
        </w:rPr>
        <w:t>EUR</w:t>
      </w:r>
      <w:r w:rsidRPr="000D6973">
        <w:rPr>
          <w:rFonts w:asciiTheme="minorHAnsi" w:hAnsiTheme="minorHAnsi"/>
        </w:rPr>
        <w:t xml:space="preserve">, a sada iznose </w:t>
      </w:r>
      <w:r w:rsidR="00F8724F">
        <w:rPr>
          <w:rFonts w:asciiTheme="minorHAnsi" w:hAnsiTheme="minorHAnsi"/>
        </w:rPr>
        <w:t>761,57</w:t>
      </w:r>
      <w:r w:rsidRPr="000D6973">
        <w:rPr>
          <w:rFonts w:asciiTheme="minorHAnsi" w:hAnsiTheme="minorHAnsi"/>
        </w:rPr>
        <w:t xml:space="preserve"> eura. Odnos</w:t>
      </w:r>
      <w:r>
        <w:rPr>
          <w:rFonts w:asciiTheme="minorHAnsi" w:hAnsiTheme="minorHAnsi"/>
        </w:rPr>
        <w:t>ila</w:t>
      </w:r>
      <w:r w:rsidRPr="000D6973">
        <w:rPr>
          <w:rFonts w:asciiTheme="minorHAnsi" w:hAnsiTheme="minorHAnsi"/>
        </w:rPr>
        <w:t xml:space="preserve"> s</w:t>
      </w:r>
      <w:r>
        <w:rPr>
          <w:rFonts w:asciiTheme="minorHAnsi" w:hAnsiTheme="minorHAnsi"/>
        </w:rPr>
        <w:t>u se</w:t>
      </w:r>
      <w:r w:rsidRPr="000D6973">
        <w:rPr>
          <w:rFonts w:asciiTheme="minorHAnsi" w:hAnsiTheme="minorHAnsi"/>
        </w:rPr>
        <w:t xml:space="preserve"> na potraživanje od HZZO-a za bolovanje.</w:t>
      </w:r>
    </w:p>
    <w:p w14:paraId="7BCBA35E" w14:textId="77777777" w:rsidR="007F00CD" w:rsidRPr="007F25F5" w:rsidRDefault="007F00CD" w:rsidP="007F00CD">
      <w:pPr>
        <w:spacing w:line="276" w:lineRule="auto"/>
        <w:jc w:val="both"/>
        <w:rPr>
          <w:rFonts w:asciiTheme="minorHAnsi" w:hAnsiTheme="minorHAnsi"/>
        </w:rPr>
      </w:pPr>
    </w:p>
    <w:p w14:paraId="389F6425" w14:textId="77777777" w:rsidR="007F00CD" w:rsidRDefault="007F00CD" w:rsidP="007F00CD">
      <w:pPr>
        <w:spacing w:line="276" w:lineRule="auto"/>
        <w:jc w:val="both"/>
        <w:rPr>
          <w:rFonts w:asciiTheme="minorHAnsi" w:hAnsiTheme="minorHAnsi"/>
          <w:b/>
          <w:bCs/>
        </w:rPr>
      </w:pPr>
    </w:p>
    <w:p w14:paraId="673FAD89" w14:textId="7D1CE9E5" w:rsidR="007F00CD" w:rsidRDefault="007F00CD" w:rsidP="007F00CD">
      <w:pPr>
        <w:spacing w:line="276" w:lineRule="auto"/>
        <w:jc w:val="both"/>
        <w:rPr>
          <w:rFonts w:asciiTheme="minorHAnsi" w:hAnsiTheme="minorHAnsi"/>
        </w:rPr>
      </w:pPr>
      <w:r w:rsidRPr="000D6973">
        <w:rPr>
          <w:rFonts w:asciiTheme="minorHAnsi" w:hAnsiTheme="minorHAnsi"/>
        </w:rPr>
        <w:t xml:space="preserve">ŠIFRA </w:t>
      </w:r>
      <w:r>
        <w:rPr>
          <w:rFonts w:asciiTheme="minorHAnsi" w:hAnsiTheme="minorHAnsi"/>
        </w:rPr>
        <w:t>232</w:t>
      </w:r>
      <w:r w:rsidRPr="000D6973">
        <w:rPr>
          <w:rFonts w:asciiTheme="minorHAnsi" w:hAnsiTheme="minorHAnsi"/>
        </w:rPr>
        <w:t xml:space="preserve"> </w:t>
      </w:r>
      <w:r>
        <w:rPr>
          <w:rFonts w:asciiTheme="minorHAnsi" w:hAnsiTheme="minorHAnsi"/>
        </w:rPr>
        <w:t xml:space="preserve">Obveze za materijalne rashode, iznose </w:t>
      </w:r>
      <w:r w:rsidR="00F8724F">
        <w:rPr>
          <w:rFonts w:asciiTheme="minorHAnsi" w:hAnsiTheme="minorHAnsi"/>
        </w:rPr>
        <w:t>1.648,11 EUR u tekućem izvještajnom razdoblju.</w:t>
      </w:r>
    </w:p>
    <w:p w14:paraId="57E26E66" w14:textId="77777777" w:rsidR="007F00CD" w:rsidRDefault="007F00CD" w:rsidP="007F00CD">
      <w:pPr>
        <w:spacing w:line="276" w:lineRule="auto"/>
        <w:rPr>
          <w:rFonts w:asciiTheme="minorHAnsi" w:hAnsiTheme="minorHAnsi"/>
          <w:highlight w:val="yellow"/>
        </w:rPr>
      </w:pPr>
    </w:p>
    <w:p w14:paraId="5F357D94" w14:textId="1ECE7159" w:rsidR="007F00CD" w:rsidRPr="009F12AC" w:rsidRDefault="007F00CD" w:rsidP="007F00CD">
      <w:pPr>
        <w:spacing w:line="276" w:lineRule="auto"/>
        <w:rPr>
          <w:rFonts w:asciiTheme="minorHAnsi" w:hAnsiTheme="minorHAnsi"/>
        </w:rPr>
      </w:pPr>
      <w:r w:rsidRPr="009F12AC">
        <w:rPr>
          <w:rFonts w:asciiTheme="minorHAnsi" w:hAnsiTheme="minorHAnsi"/>
        </w:rPr>
        <w:t>ŠIFRA 922 Višak/manjak prihoda</w:t>
      </w:r>
      <w:r w:rsidRPr="009F12AC">
        <w:rPr>
          <w:rFonts w:asciiTheme="minorHAnsi" w:hAnsiTheme="minorHAnsi"/>
          <w:b/>
          <w:bCs/>
          <w:i/>
          <w:iCs/>
        </w:rPr>
        <w:t xml:space="preserve"> </w:t>
      </w:r>
      <w:r w:rsidRPr="009F12AC">
        <w:rPr>
          <w:rFonts w:asciiTheme="minorHAnsi" w:hAnsiTheme="minorHAnsi"/>
        </w:rPr>
        <w:t xml:space="preserve">iznosi </w:t>
      </w:r>
      <w:r>
        <w:rPr>
          <w:rFonts w:asciiTheme="minorHAnsi" w:hAnsiTheme="minorHAnsi"/>
        </w:rPr>
        <w:t>-</w:t>
      </w:r>
      <w:r w:rsidR="00F8724F">
        <w:rPr>
          <w:rFonts w:asciiTheme="minorHAnsi" w:hAnsiTheme="minorHAnsi"/>
        </w:rPr>
        <w:t>13.713,30</w:t>
      </w:r>
      <w:r>
        <w:rPr>
          <w:rFonts w:asciiTheme="minorHAnsi" w:hAnsiTheme="minorHAnsi"/>
        </w:rPr>
        <w:t xml:space="preserve"> EUR</w:t>
      </w:r>
      <w:r w:rsidRPr="009F12AC">
        <w:rPr>
          <w:rFonts w:asciiTheme="minorHAnsi" w:hAnsiTheme="minorHAnsi"/>
        </w:rPr>
        <w:t xml:space="preserve">, a nastao je kao rezultat Viška prihoda poslovanja u iznosu od </w:t>
      </w:r>
      <w:r w:rsidR="00F8724F">
        <w:rPr>
          <w:rFonts w:asciiTheme="minorHAnsi" w:hAnsiTheme="minorHAnsi"/>
        </w:rPr>
        <w:t>130.171,55</w:t>
      </w:r>
      <w:r w:rsidRPr="009F12AC">
        <w:rPr>
          <w:rFonts w:asciiTheme="minorHAnsi" w:hAnsiTheme="minorHAnsi"/>
        </w:rPr>
        <w:t xml:space="preserve"> eura (šifra 9221) i Manjka prihoda od nefinancijske imovine  u iznosu od </w:t>
      </w:r>
      <w:r w:rsidR="00F8724F">
        <w:rPr>
          <w:rFonts w:asciiTheme="minorHAnsi" w:hAnsiTheme="minorHAnsi"/>
        </w:rPr>
        <w:t xml:space="preserve">143.884,85 </w:t>
      </w:r>
      <w:r w:rsidRPr="009F12AC">
        <w:rPr>
          <w:rFonts w:asciiTheme="minorHAnsi" w:hAnsiTheme="minorHAnsi"/>
        </w:rPr>
        <w:t>eura (šifra 9222). Isti će se raspodijeliti tijekom 2025. godine.</w:t>
      </w:r>
    </w:p>
    <w:p w14:paraId="221F79F9" w14:textId="77777777" w:rsidR="007F00CD" w:rsidRPr="007F25F5" w:rsidRDefault="007F00CD" w:rsidP="007F00CD">
      <w:pPr>
        <w:spacing w:line="276" w:lineRule="auto"/>
        <w:jc w:val="both"/>
        <w:rPr>
          <w:rFonts w:ascii="Calibri" w:hAnsi="Calibri"/>
          <w:highlight w:val="yellow"/>
        </w:rPr>
      </w:pPr>
    </w:p>
    <w:p w14:paraId="2C970BD1" w14:textId="77777777" w:rsidR="007F00CD" w:rsidRDefault="007F00CD" w:rsidP="007F00CD">
      <w:pPr>
        <w:spacing w:line="276" w:lineRule="auto"/>
        <w:jc w:val="both"/>
        <w:rPr>
          <w:rFonts w:ascii="Calibri" w:hAnsi="Calibri"/>
          <w:highlight w:val="yellow"/>
        </w:rPr>
      </w:pPr>
    </w:p>
    <w:p w14:paraId="38E55B99" w14:textId="77777777" w:rsidR="00F8724F" w:rsidRDefault="00F8724F" w:rsidP="007F00CD">
      <w:pPr>
        <w:spacing w:line="276" w:lineRule="auto"/>
        <w:jc w:val="both"/>
        <w:rPr>
          <w:rFonts w:ascii="Calibri" w:hAnsi="Calibri"/>
          <w:highlight w:val="yellow"/>
        </w:rPr>
      </w:pPr>
    </w:p>
    <w:p w14:paraId="297CDAD8" w14:textId="77777777" w:rsidR="00F8724F" w:rsidRDefault="00F8724F" w:rsidP="007F00CD">
      <w:pPr>
        <w:spacing w:line="276" w:lineRule="auto"/>
        <w:jc w:val="both"/>
        <w:rPr>
          <w:rFonts w:ascii="Calibri" w:hAnsi="Calibri"/>
          <w:highlight w:val="yellow"/>
        </w:rPr>
      </w:pPr>
    </w:p>
    <w:p w14:paraId="12291FEA" w14:textId="77777777" w:rsidR="00F8724F" w:rsidRPr="007F25F5" w:rsidRDefault="00F8724F" w:rsidP="007F00CD">
      <w:pPr>
        <w:spacing w:line="276" w:lineRule="auto"/>
        <w:jc w:val="both"/>
        <w:rPr>
          <w:rFonts w:ascii="Calibri" w:hAnsi="Calibri"/>
          <w:highlight w:val="yellow"/>
        </w:rPr>
      </w:pPr>
    </w:p>
    <w:p w14:paraId="39AD19E8" w14:textId="77777777" w:rsidR="007F00CD" w:rsidRDefault="007F00CD" w:rsidP="007F00CD">
      <w:pPr>
        <w:spacing w:line="276" w:lineRule="auto"/>
        <w:jc w:val="both"/>
        <w:rPr>
          <w:rFonts w:asciiTheme="minorHAnsi" w:hAnsiTheme="minorHAnsi"/>
          <w:b/>
          <w:bCs/>
        </w:rPr>
      </w:pPr>
      <w:r>
        <w:rPr>
          <w:rFonts w:asciiTheme="minorHAnsi" w:hAnsiTheme="minorHAnsi"/>
          <w:b/>
          <w:bCs/>
        </w:rPr>
        <w:t>3</w:t>
      </w:r>
      <w:r w:rsidRPr="00A25B61">
        <w:rPr>
          <w:rFonts w:asciiTheme="minorHAnsi" w:hAnsiTheme="minorHAnsi"/>
          <w:b/>
          <w:bCs/>
        </w:rPr>
        <w:t xml:space="preserve">. IZVJEŠTAJ O OBVEZAMA </w:t>
      </w:r>
    </w:p>
    <w:p w14:paraId="40C7AFF9" w14:textId="77777777" w:rsidR="007F00CD" w:rsidRDefault="007F00CD" w:rsidP="007F00CD">
      <w:pPr>
        <w:spacing w:line="276" w:lineRule="auto"/>
        <w:jc w:val="both"/>
        <w:rPr>
          <w:rFonts w:asciiTheme="minorHAnsi" w:hAnsiTheme="minorHAnsi"/>
          <w:b/>
          <w:bCs/>
        </w:rPr>
      </w:pPr>
    </w:p>
    <w:p w14:paraId="47B6C35D" w14:textId="77777777" w:rsidR="007F00CD" w:rsidRPr="00A25B61" w:rsidRDefault="007F00CD" w:rsidP="007F00CD">
      <w:pPr>
        <w:spacing w:line="276" w:lineRule="auto"/>
        <w:jc w:val="both"/>
        <w:rPr>
          <w:rFonts w:asciiTheme="minorHAnsi" w:hAnsiTheme="minorHAnsi"/>
        </w:rPr>
      </w:pPr>
      <w:r w:rsidRPr="00A25B61">
        <w:rPr>
          <w:rFonts w:asciiTheme="minorHAnsi" w:hAnsiTheme="minorHAnsi"/>
        </w:rPr>
        <w:t>Bilješka 1.</w:t>
      </w:r>
    </w:p>
    <w:p w14:paraId="4971B3CE" w14:textId="0A2AAA5D" w:rsidR="007F00CD" w:rsidRPr="00A25B61" w:rsidRDefault="007F00CD" w:rsidP="007F00CD">
      <w:pPr>
        <w:spacing w:line="276" w:lineRule="auto"/>
        <w:jc w:val="both"/>
        <w:rPr>
          <w:rFonts w:ascii="Calibri" w:hAnsi="Calibri"/>
        </w:rPr>
      </w:pPr>
      <w:r w:rsidRPr="00A25B61">
        <w:rPr>
          <w:rFonts w:ascii="Calibri" w:hAnsi="Calibri"/>
        </w:rPr>
        <w:t xml:space="preserve">ŠIFRA V006 - Stanje obveza na kraju izvještajnog razdoblja iznosi </w:t>
      </w:r>
      <w:r>
        <w:rPr>
          <w:rFonts w:ascii="Calibri" w:hAnsi="Calibri"/>
        </w:rPr>
        <w:t>57.</w:t>
      </w:r>
      <w:r w:rsidR="00F8724F">
        <w:rPr>
          <w:rFonts w:ascii="Calibri" w:hAnsi="Calibri"/>
        </w:rPr>
        <w:t>420,50</w:t>
      </w:r>
      <w:r w:rsidRPr="00A25B61">
        <w:rPr>
          <w:rFonts w:ascii="Calibri" w:hAnsi="Calibri"/>
        </w:rPr>
        <w:t xml:space="preserve"> eura, a odnose se na Obveze za rashode poslovanja </w:t>
      </w:r>
      <w:r>
        <w:rPr>
          <w:rFonts w:ascii="Calibri" w:hAnsi="Calibri"/>
        </w:rPr>
        <w:t>– 23</w:t>
      </w:r>
      <w:r w:rsidR="00F8724F">
        <w:rPr>
          <w:rFonts w:ascii="Calibri" w:hAnsi="Calibri"/>
        </w:rPr>
        <w:t xml:space="preserve"> i obveze za povrat u proračun (HZZO)</w:t>
      </w:r>
    </w:p>
    <w:p w14:paraId="2A0BCAB1" w14:textId="77777777" w:rsidR="007F00CD" w:rsidRDefault="007F00CD" w:rsidP="007F00CD">
      <w:pPr>
        <w:spacing w:line="276" w:lineRule="auto"/>
        <w:jc w:val="both"/>
        <w:rPr>
          <w:rFonts w:ascii="Calibri" w:hAnsi="Calibri"/>
        </w:rPr>
      </w:pPr>
    </w:p>
    <w:p w14:paraId="3C16A90F" w14:textId="77777777" w:rsidR="00F8724F" w:rsidRDefault="00F8724F" w:rsidP="007F00CD">
      <w:pPr>
        <w:spacing w:line="276" w:lineRule="auto"/>
        <w:jc w:val="both"/>
        <w:rPr>
          <w:rFonts w:ascii="Calibri" w:hAnsi="Calibri"/>
        </w:rPr>
      </w:pPr>
    </w:p>
    <w:p w14:paraId="216BAE83" w14:textId="77777777" w:rsidR="007F00CD" w:rsidRPr="00A25B61" w:rsidRDefault="007F00CD" w:rsidP="007F00CD">
      <w:pPr>
        <w:spacing w:line="276" w:lineRule="auto"/>
        <w:jc w:val="both"/>
        <w:rPr>
          <w:rFonts w:asciiTheme="minorHAnsi" w:hAnsiTheme="minorHAnsi"/>
        </w:rPr>
      </w:pPr>
      <w:r w:rsidRPr="00A25B61">
        <w:rPr>
          <w:rFonts w:asciiTheme="minorHAnsi" w:hAnsiTheme="minorHAnsi"/>
        </w:rPr>
        <w:t xml:space="preserve">Bilješka </w:t>
      </w:r>
      <w:r>
        <w:rPr>
          <w:rFonts w:asciiTheme="minorHAnsi" w:hAnsiTheme="minorHAnsi"/>
        </w:rPr>
        <w:t>2</w:t>
      </w:r>
      <w:r w:rsidRPr="00A25B61">
        <w:rPr>
          <w:rFonts w:asciiTheme="minorHAnsi" w:hAnsiTheme="minorHAnsi"/>
        </w:rPr>
        <w:t>.</w:t>
      </w:r>
    </w:p>
    <w:p w14:paraId="3B1292A2" w14:textId="77777777" w:rsidR="007F00CD" w:rsidRPr="00A25B61" w:rsidRDefault="007F00CD" w:rsidP="007F00CD">
      <w:pPr>
        <w:spacing w:line="276" w:lineRule="auto"/>
        <w:jc w:val="both"/>
        <w:rPr>
          <w:rFonts w:ascii="Calibri" w:hAnsi="Calibri"/>
        </w:rPr>
      </w:pPr>
      <w:r w:rsidRPr="00A25B61">
        <w:rPr>
          <w:rFonts w:ascii="Calibri" w:hAnsi="Calibri"/>
        </w:rPr>
        <w:lastRenderedPageBreak/>
        <w:t>ŠIFRA V007 - Stanje dospjelih obveza na kraju izvještajnog razdoblja</w:t>
      </w:r>
      <w:r>
        <w:rPr>
          <w:rFonts w:ascii="Calibri" w:hAnsi="Calibri"/>
        </w:rPr>
        <w:t xml:space="preserve"> </w:t>
      </w:r>
      <w:r w:rsidRPr="00A25B61">
        <w:rPr>
          <w:rFonts w:ascii="Calibri" w:hAnsi="Calibri"/>
        </w:rPr>
        <w:t>iznosi 0,00 eura, odnosno sve su obveze nedospjele.</w:t>
      </w:r>
    </w:p>
    <w:p w14:paraId="52902FC9" w14:textId="77777777" w:rsidR="007F00CD" w:rsidRDefault="007F00CD" w:rsidP="007F00CD">
      <w:pPr>
        <w:spacing w:line="276" w:lineRule="auto"/>
        <w:jc w:val="both"/>
        <w:rPr>
          <w:rFonts w:ascii="Calibri" w:hAnsi="Calibri"/>
        </w:rPr>
      </w:pPr>
    </w:p>
    <w:p w14:paraId="0086112F" w14:textId="77777777" w:rsidR="007F00CD" w:rsidRDefault="007F00CD" w:rsidP="007F00CD">
      <w:pPr>
        <w:spacing w:line="276" w:lineRule="auto"/>
        <w:jc w:val="both"/>
      </w:pPr>
      <w:r w:rsidRPr="00A25B61">
        <w:rPr>
          <w:rFonts w:asciiTheme="minorHAnsi" w:hAnsiTheme="minorHAnsi"/>
        </w:rPr>
        <w:t xml:space="preserve">Bilješka </w:t>
      </w:r>
      <w:r>
        <w:rPr>
          <w:rFonts w:asciiTheme="minorHAnsi" w:hAnsiTheme="minorHAnsi"/>
        </w:rPr>
        <w:t>3</w:t>
      </w:r>
      <w:r w:rsidRPr="00A25B61">
        <w:rPr>
          <w:rFonts w:asciiTheme="minorHAnsi" w:hAnsiTheme="minorHAnsi"/>
        </w:rPr>
        <w:t>.</w:t>
      </w:r>
      <w:r w:rsidRPr="009E7BA8">
        <w:t xml:space="preserve"> </w:t>
      </w:r>
    </w:p>
    <w:p w14:paraId="324DDF6A" w14:textId="76DD9594" w:rsidR="007F00CD" w:rsidRPr="009E7BA8" w:rsidRDefault="007F00CD" w:rsidP="007F00CD">
      <w:pPr>
        <w:spacing w:line="276" w:lineRule="auto"/>
        <w:jc w:val="both"/>
        <w:rPr>
          <w:rFonts w:asciiTheme="minorHAnsi" w:hAnsiTheme="minorHAnsi"/>
        </w:rPr>
      </w:pPr>
      <w:r w:rsidRPr="009E7BA8">
        <w:rPr>
          <w:rFonts w:asciiTheme="minorHAnsi" w:hAnsiTheme="minorHAnsi"/>
        </w:rPr>
        <w:t xml:space="preserve">ŠIFRA V009 - Stanje nedospjelih obveza na kraju izvještajnog razdoblja iznosi </w:t>
      </w:r>
      <w:r>
        <w:rPr>
          <w:rFonts w:asciiTheme="minorHAnsi" w:hAnsiTheme="minorHAnsi"/>
        </w:rPr>
        <w:t>57.</w:t>
      </w:r>
      <w:r w:rsidR="00F8724F">
        <w:rPr>
          <w:rFonts w:asciiTheme="minorHAnsi" w:hAnsiTheme="minorHAnsi"/>
        </w:rPr>
        <w:t>420,50</w:t>
      </w:r>
      <w:r w:rsidRPr="009E7BA8">
        <w:rPr>
          <w:rFonts w:asciiTheme="minorHAnsi" w:hAnsiTheme="minorHAnsi"/>
        </w:rPr>
        <w:t xml:space="preserve"> eura,</w:t>
      </w:r>
    </w:p>
    <w:p w14:paraId="7080A6D8" w14:textId="77777777" w:rsidR="007F00CD" w:rsidRPr="00A25B61" w:rsidRDefault="007F00CD" w:rsidP="007F00CD">
      <w:pPr>
        <w:spacing w:line="276" w:lineRule="auto"/>
        <w:jc w:val="both"/>
        <w:rPr>
          <w:rFonts w:asciiTheme="minorHAnsi" w:hAnsiTheme="minorHAnsi"/>
        </w:rPr>
      </w:pPr>
      <w:r w:rsidRPr="009E7BA8">
        <w:rPr>
          <w:rFonts w:asciiTheme="minorHAnsi" w:hAnsiTheme="minorHAnsi"/>
        </w:rPr>
        <w:t>od toga:</w:t>
      </w:r>
    </w:p>
    <w:tbl>
      <w:tblPr>
        <w:tblW w:w="5850" w:type="dxa"/>
        <w:tblInd w:w="1985" w:type="dxa"/>
        <w:tblLook w:val="04A0" w:firstRow="1" w:lastRow="0" w:firstColumn="1" w:lastColumn="0" w:noHBand="0" w:noVBand="1"/>
      </w:tblPr>
      <w:tblGrid>
        <w:gridCol w:w="1505"/>
        <w:gridCol w:w="2500"/>
        <w:gridCol w:w="749"/>
        <w:gridCol w:w="1096"/>
      </w:tblGrid>
      <w:tr w:rsidR="007F00CD" w14:paraId="7C549B6F" w14:textId="77777777" w:rsidTr="006C3890">
        <w:trPr>
          <w:trHeight w:val="310"/>
        </w:trPr>
        <w:tc>
          <w:tcPr>
            <w:tcW w:w="1505" w:type="dxa"/>
            <w:tcBorders>
              <w:top w:val="nil"/>
              <w:left w:val="nil"/>
              <w:bottom w:val="nil"/>
              <w:right w:val="nil"/>
            </w:tcBorders>
            <w:noWrap/>
            <w:vAlign w:val="center"/>
          </w:tcPr>
          <w:p w14:paraId="128DA0CC" w14:textId="77777777" w:rsidR="007F00CD" w:rsidRDefault="007F00CD" w:rsidP="006C3890">
            <w:pPr>
              <w:jc w:val="both"/>
              <w:rPr>
                <w:color w:val="000000"/>
              </w:rPr>
            </w:pPr>
          </w:p>
        </w:tc>
        <w:tc>
          <w:tcPr>
            <w:tcW w:w="2500" w:type="dxa"/>
            <w:tcBorders>
              <w:top w:val="nil"/>
              <w:left w:val="nil"/>
              <w:bottom w:val="nil"/>
              <w:right w:val="nil"/>
            </w:tcBorders>
            <w:noWrap/>
            <w:vAlign w:val="bottom"/>
            <w:hideMark/>
          </w:tcPr>
          <w:p w14:paraId="5E5E78C4" w14:textId="77777777" w:rsidR="007F00CD" w:rsidRDefault="007F00CD" w:rsidP="006C3890">
            <w:pPr>
              <w:jc w:val="both"/>
              <w:rPr>
                <w:color w:val="000000"/>
              </w:rPr>
            </w:pPr>
          </w:p>
        </w:tc>
        <w:tc>
          <w:tcPr>
            <w:tcW w:w="749" w:type="dxa"/>
            <w:tcBorders>
              <w:top w:val="nil"/>
              <w:left w:val="nil"/>
              <w:bottom w:val="nil"/>
              <w:right w:val="nil"/>
            </w:tcBorders>
            <w:noWrap/>
            <w:vAlign w:val="bottom"/>
            <w:hideMark/>
          </w:tcPr>
          <w:p w14:paraId="694BDC0E" w14:textId="77777777" w:rsidR="007F00CD" w:rsidRDefault="007F00CD" w:rsidP="006C3890">
            <w:pPr>
              <w:rPr>
                <w:sz w:val="20"/>
                <w:szCs w:val="20"/>
              </w:rPr>
            </w:pPr>
          </w:p>
        </w:tc>
        <w:tc>
          <w:tcPr>
            <w:tcW w:w="1096" w:type="dxa"/>
            <w:tcBorders>
              <w:top w:val="nil"/>
              <w:left w:val="nil"/>
              <w:bottom w:val="nil"/>
              <w:right w:val="nil"/>
            </w:tcBorders>
            <w:noWrap/>
            <w:vAlign w:val="bottom"/>
            <w:hideMark/>
          </w:tcPr>
          <w:p w14:paraId="1E45F1A9" w14:textId="77777777" w:rsidR="007F00CD" w:rsidRDefault="007F00CD" w:rsidP="006C3890">
            <w:pPr>
              <w:rPr>
                <w:sz w:val="20"/>
                <w:szCs w:val="20"/>
              </w:rPr>
            </w:pPr>
          </w:p>
        </w:tc>
      </w:tr>
      <w:tr w:rsidR="007F00CD" w14:paraId="48775448" w14:textId="77777777" w:rsidTr="006C3890">
        <w:trPr>
          <w:trHeight w:val="930"/>
        </w:trPr>
        <w:tc>
          <w:tcPr>
            <w:tcW w:w="1505" w:type="dxa"/>
            <w:tcBorders>
              <w:top w:val="nil"/>
              <w:left w:val="nil"/>
              <w:bottom w:val="nil"/>
              <w:right w:val="nil"/>
            </w:tcBorders>
            <w:noWrap/>
            <w:vAlign w:val="center"/>
          </w:tcPr>
          <w:p w14:paraId="54DBF69F" w14:textId="77777777" w:rsidR="007F00CD" w:rsidRDefault="007F00CD" w:rsidP="006C3890">
            <w:pPr>
              <w:jc w:val="both"/>
              <w:rPr>
                <w:color w:val="000000"/>
              </w:rPr>
            </w:pPr>
          </w:p>
        </w:tc>
        <w:tc>
          <w:tcPr>
            <w:tcW w:w="2500" w:type="dxa"/>
            <w:tcBorders>
              <w:top w:val="nil"/>
              <w:left w:val="nil"/>
              <w:bottom w:val="nil"/>
              <w:right w:val="nil"/>
            </w:tcBorders>
            <w:noWrap/>
            <w:vAlign w:val="bottom"/>
          </w:tcPr>
          <w:p w14:paraId="15911100" w14:textId="77777777" w:rsidR="007F00CD" w:rsidRDefault="007F00CD" w:rsidP="006C3890">
            <w:pPr>
              <w:jc w:val="both"/>
              <w:rPr>
                <w:color w:val="000000"/>
              </w:rPr>
            </w:pPr>
          </w:p>
        </w:tc>
        <w:tc>
          <w:tcPr>
            <w:tcW w:w="749" w:type="dxa"/>
            <w:tcBorders>
              <w:top w:val="nil"/>
              <w:left w:val="nil"/>
              <w:bottom w:val="nil"/>
              <w:right w:val="nil"/>
            </w:tcBorders>
            <w:noWrap/>
            <w:vAlign w:val="bottom"/>
          </w:tcPr>
          <w:p w14:paraId="7945DB4D" w14:textId="77777777" w:rsidR="007F00CD" w:rsidRDefault="007F00CD" w:rsidP="006C3890">
            <w:pPr>
              <w:rPr>
                <w:sz w:val="20"/>
                <w:szCs w:val="20"/>
              </w:rPr>
            </w:pPr>
          </w:p>
        </w:tc>
        <w:tc>
          <w:tcPr>
            <w:tcW w:w="1096" w:type="dxa"/>
            <w:tcBorders>
              <w:top w:val="nil"/>
              <w:left w:val="nil"/>
              <w:bottom w:val="nil"/>
              <w:right w:val="nil"/>
            </w:tcBorders>
            <w:noWrap/>
            <w:vAlign w:val="bottom"/>
          </w:tcPr>
          <w:p w14:paraId="07FB22EB" w14:textId="77777777" w:rsidR="007F00CD" w:rsidRDefault="007F00CD" w:rsidP="006C3890">
            <w:pPr>
              <w:rPr>
                <w:sz w:val="20"/>
                <w:szCs w:val="20"/>
              </w:rPr>
            </w:pPr>
          </w:p>
        </w:tc>
      </w:tr>
      <w:tr w:rsidR="007F00CD" w14:paraId="311DE4A1" w14:textId="77777777" w:rsidTr="006C3890">
        <w:trPr>
          <w:trHeight w:val="315"/>
        </w:trPr>
        <w:tc>
          <w:tcPr>
            <w:tcW w:w="1505" w:type="dxa"/>
            <w:tcBorders>
              <w:top w:val="nil"/>
              <w:left w:val="nil"/>
              <w:bottom w:val="nil"/>
              <w:right w:val="nil"/>
            </w:tcBorders>
            <w:noWrap/>
            <w:vAlign w:val="center"/>
          </w:tcPr>
          <w:p w14:paraId="24E92FDD" w14:textId="77777777" w:rsidR="007F00CD" w:rsidRDefault="007F00CD" w:rsidP="006C3890">
            <w:pPr>
              <w:rPr>
                <w:sz w:val="20"/>
                <w:szCs w:val="20"/>
              </w:rPr>
            </w:pPr>
          </w:p>
        </w:tc>
        <w:tc>
          <w:tcPr>
            <w:tcW w:w="2500" w:type="dxa"/>
            <w:tcBorders>
              <w:top w:val="nil"/>
              <w:left w:val="nil"/>
              <w:bottom w:val="nil"/>
              <w:right w:val="nil"/>
            </w:tcBorders>
            <w:noWrap/>
            <w:vAlign w:val="bottom"/>
          </w:tcPr>
          <w:p w14:paraId="20DE05BB" w14:textId="77777777" w:rsidR="007F00CD" w:rsidRDefault="007F00CD" w:rsidP="006C3890">
            <w:pPr>
              <w:jc w:val="both"/>
              <w:rPr>
                <w:sz w:val="20"/>
                <w:szCs w:val="20"/>
              </w:rPr>
            </w:pPr>
          </w:p>
        </w:tc>
        <w:tc>
          <w:tcPr>
            <w:tcW w:w="749" w:type="dxa"/>
            <w:tcBorders>
              <w:top w:val="nil"/>
              <w:left w:val="nil"/>
              <w:bottom w:val="nil"/>
              <w:right w:val="nil"/>
            </w:tcBorders>
            <w:noWrap/>
            <w:vAlign w:val="bottom"/>
          </w:tcPr>
          <w:p w14:paraId="008EA59D" w14:textId="77777777" w:rsidR="007F00CD" w:rsidRDefault="007F00CD" w:rsidP="006C3890">
            <w:pPr>
              <w:rPr>
                <w:sz w:val="20"/>
                <w:szCs w:val="20"/>
              </w:rPr>
            </w:pPr>
          </w:p>
        </w:tc>
        <w:tc>
          <w:tcPr>
            <w:tcW w:w="1096" w:type="dxa"/>
            <w:tcBorders>
              <w:top w:val="nil"/>
              <w:left w:val="nil"/>
              <w:bottom w:val="nil"/>
              <w:right w:val="nil"/>
            </w:tcBorders>
            <w:noWrap/>
            <w:vAlign w:val="bottom"/>
          </w:tcPr>
          <w:p w14:paraId="7B7420DE" w14:textId="77777777" w:rsidR="007F00CD" w:rsidRDefault="007F00CD" w:rsidP="006C3890">
            <w:pPr>
              <w:rPr>
                <w:sz w:val="20"/>
                <w:szCs w:val="20"/>
              </w:rPr>
            </w:pPr>
          </w:p>
        </w:tc>
      </w:tr>
      <w:tr w:rsidR="007F00CD" w14:paraId="53D3B0EE" w14:textId="77777777" w:rsidTr="006C3890">
        <w:trPr>
          <w:trHeight w:val="315"/>
        </w:trPr>
        <w:tc>
          <w:tcPr>
            <w:tcW w:w="1505" w:type="dxa"/>
            <w:tcBorders>
              <w:top w:val="nil"/>
              <w:left w:val="nil"/>
              <w:bottom w:val="nil"/>
              <w:right w:val="nil"/>
            </w:tcBorders>
            <w:noWrap/>
            <w:vAlign w:val="center"/>
          </w:tcPr>
          <w:p w14:paraId="62D8BCCB" w14:textId="77777777" w:rsidR="007F00CD" w:rsidRDefault="007F00CD" w:rsidP="006C3890">
            <w:pPr>
              <w:rPr>
                <w:sz w:val="20"/>
                <w:szCs w:val="20"/>
              </w:rPr>
            </w:pPr>
          </w:p>
        </w:tc>
        <w:tc>
          <w:tcPr>
            <w:tcW w:w="2500" w:type="dxa"/>
            <w:tcBorders>
              <w:top w:val="nil"/>
              <w:left w:val="nil"/>
              <w:bottom w:val="nil"/>
              <w:right w:val="nil"/>
            </w:tcBorders>
            <w:noWrap/>
            <w:vAlign w:val="bottom"/>
          </w:tcPr>
          <w:p w14:paraId="2FCF9C73" w14:textId="77777777" w:rsidR="007F00CD" w:rsidRDefault="007F00CD" w:rsidP="006C3890">
            <w:pPr>
              <w:rPr>
                <w:sz w:val="20"/>
                <w:szCs w:val="20"/>
              </w:rPr>
            </w:pPr>
          </w:p>
        </w:tc>
        <w:tc>
          <w:tcPr>
            <w:tcW w:w="749" w:type="dxa"/>
            <w:tcBorders>
              <w:top w:val="nil"/>
              <w:left w:val="nil"/>
              <w:bottom w:val="nil"/>
              <w:right w:val="nil"/>
            </w:tcBorders>
            <w:noWrap/>
            <w:vAlign w:val="bottom"/>
          </w:tcPr>
          <w:p w14:paraId="4AB1C669" w14:textId="77777777" w:rsidR="007F00CD" w:rsidRDefault="007F00CD" w:rsidP="006C3890">
            <w:pPr>
              <w:rPr>
                <w:sz w:val="20"/>
                <w:szCs w:val="20"/>
              </w:rPr>
            </w:pPr>
          </w:p>
        </w:tc>
        <w:tc>
          <w:tcPr>
            <w:tcW w:w="1096" w:type="dxa"/>
            <w:tcBorders>
              <w:top w:val="nil"/>
              <w:left w:val="nil"/>
              <w:bottom w:val="nil"/>
              <w:right w:val="nil"/>
            </w:tcBorders>
            <w:noWrap/>
            <w:vAlign w:val="bottom"/>
          </w:tcPr>
          <w:p w14:paraId="211593CC" w14:textId="77777777" w:rsidR="007F00CD" w:rsidRDefault="007F00CD" w:rsidP="006C3890">
            <w:pPr>
              <w:rPr>
                <w:sz w:val="20"/>
                <w:szCs w:val="20"/>
              </w:rPr>
            </w:pPr>
          </w:p>
        </w:tc>
      </w:tr>
      <w:tr w:rsidR="007F00CD" w14:paraId="28C83A6F" w14:textId="77777777" w:rsidTr="006C3890">
        <w:trPr>
          <w:trHeight w:val="315"/>
        </w:trPr>
        <w:tc>
          <w:tcPr>
            <w:tcW w:w="4005" w:type="dxa"/>
            <w:gridSpan w:val="2"/>
            <w:tcBorders>
              <w:top w:val="single" w:sz="4" w:space="0" w:color="auto"/>
              <w:left w:val="single" w:sz="4" w:space="0" w:color="auto"/>
              <w:bottom w:val="single" w:sz="4" w:space="0" w:color="auto"/>
              <w:right w:val="single" w:sz="4" w:space="0" w:color="000000"/>
            </w:tcBorders>
            <w:noWrap/>
            <w:vAlign w:val="center"/>
          </w:tcPr>
          <w:p w14:paraId="7B3780A9" w14:textId="77777777" w:rsidR="007F00CD" w:rsidRPr="009E7BA8" w:rsidRDefault="007F00CD" w:rsidP="006C3890">
            <w:pPr>
              <w:jc w:val="center"/>
              <w:rPr>
                <w:b/>
                <w:bCs/>
                <w:color w:val="000000"/>
              </w:rPr>
            </w:pPr>
            <w:r>
              <w:rPr>
                <w:b/>
                <w:bCs/>
                <w:color w:val="000000"/>
              </w:rPr>
              <w:t>Obveze za zaposlene</w:t>
            </w:r>
          </w:p>
        </w:tc>
        <w:tc>
          <w:tcPr>
            <w:tcW w:w="749" w:type="dxa"/>
            <w:tcBorders>
              <w:top w:val="single" w:sz="4" w:space="0" w:color="auto"/>
              <w:left w:val="nil"/>
              <w:bottom w:val="single" w:sz="4" w:space="0" w:color="auto"/>
              <w:right w:val="single" w:sz="4" w:space="0" w:color="auto"/>
            </w:tcBorders>
            <w:noWrap/>
            <w:vAlign w:val="bottom"/>
          </w:tcPr>
          <w:p w14:paraId="1B4FCA4F" w14:textId="77777777" w:rsidR="007F00CD" w:rsidRDefault="007F00CD" w:rsidP="006C3890">
            <w:pPr>
              <w:rPr>
                <w:color w:val="000000"/>
              </w:rPr>
            </w:pPr>
            <w:r>
              <w:rPr>
                <w:color w:val="000000"/>
              </w:rPr>
              <w:t>231</w:t>
            </w:r>
          </w:p>
        </w:tc>
        <w:tc>
          <w:tcPr>
            <w:tcW w:w="1096" w:type="dxa"/>
            <w:tcBorders>
              <w:top w:val="single" w:sz="4" w:space="0" w:color="auto"/>
              <w:left w:val="nil"/>
              <w:bottom w:val="single" w:sz="4" w:space="0" w:color="auto"/>
              <w:right w:val="single" w:sz="4" w:space="0" w:color="auto"/>
            </w:tcBorders>
            <w:noWrap/>
            <w:vAlign w:val="bottom"/>
          </w:tcPr>
          <w:p w14:paraId="5F10F65D" w14:textId="3BFF6F78" w:rsidR="007F00CD" w:rsidRDefault="00AD464A" w:rsidP="006C3890">
            <w:pPr>
              <w:rPr>
                <w:color w:val="000000"/>
                <w:sz w:val="22"/>
                <w:szCs w:val="22"/>
              </w:rPr>
            </w:pPr>
            <w:r>
              <w:rPr>
                <w:color w:val="000000"/>
                <w:sz w:val="22"/>
                <w:szCs w:val="22"/>
              </w:rPr>
              <w:t>56.587,35</w:t>
            </w:r>
          </w:p>
        </w:tc>
      </w:tr>
      <w:tr w:rsidR="007F00CD" w14:paraId="37613204" w14:textId="77777777" w:rsidTr="006C3890">
        <w:trPr>
          <w:trHeight w:val="315"/>
        </w:trPr>
        <w:tc>
          <w:tcPr>
            <w:tcW w:w="4005" w:type="dxa"/>
            <w:gridSpan w:val="2"/>
            <w:tcBorders>
              <w:top w:val="single" w:sz="4" w:space="0" w:color="auto"/>
              <w:left w:val="single" w:sz="4" w:space="0" w:color="auto"/>
              <w:bottom w:val="single" w:sz="4" w:space="0" w:color="auto"/>
              <w:right w:val="single" w:sz="4" w:space="0" w:color="000000"/>
            </w:tcBorders>
            <w:noWrap/>
            <w:vAlign w:val="center"/>
          </w:tcPr>
          <w:p w14:paraId="24767657" w14:textId="77777777" w:rsidR="007F00CD" w:rsidRPr="009E7BA8" w:rsidRDefault="007F00CD" w:rsidP="006C3890">
            <w:pPr>
              <w:jc w:val="center"/>
              <w:rPr>
                <w:b/>
                <w:bCs/>
                <w:color w:val="000000"/>
              </w:rPr>
            </w:pPr>
            <w:r>
              <w:rPr>
                <w:b/>
                <w:bCs/>
                <w:color w:val="000000"/>
              </w:rPr>
              <w:t>Obveze za materijalne rashode</w:t>
            </w:r>
          </w:p>
        </w:tc>
        <w:tc>
          <w:tcPr>
            <w:tcW w:w="749" w:type="dxa"/>
            <w:tcBorders>
              <w:top w:val="nil"/>
              <w:left w:val="nil"/>
              <w:bottom w:val="single" w:sz="4" w:space="0" w:color="auto"/>
              <w:right w:val="single" w:sz="4" w:space="0" w:color="auto"/>
            </w:tcBorders>
            <w:noWrap/>
            <w:vAlign w:val="center"/>
          </w:tcPr>
          <w:p w14:paraId="6FA69C0D" w14:textId="77777777" w:rsidR="007F00CD" w:rsidRDefault="007F00CD" w:rsidP="006C3890">
            <w:pPr>
              <w:rPr>
                <w:color w:val="000000"/>
              </w:rPr>
            </w:pPr>
            <w:r>
              <w:rPr>
                <w:color w:val="000000"/>
              </w:rPr>
              <w:t>232</w:t>
            </w:r>
          </w:p>
        </w:tc>
        <w:tc>
          <w:tcPr>
            <w:tcW w:w="1096" w:type="dxa"/>
            <w:tcBorders>
              <w:top w:val="nil"/>
              <w:left w:val="nil"/>
              <w:bottom w:val="single" w:sz="4" w:space="0" w:color="auto"/>
              <w:right w:val="single" w:sz="4" w:space="0" w:color="auto"/>
            </w:tcBorders>
            <w:noWrap/>
            <w:vAlign w:val="center"/>
          </w:tcPr>
          <w:p w14:paraId="7E05CE32" w14:textId="1AFE18C6" w:rsidR="007F00CD" w:rsidRDefault="00F8724F" w:rsidP="006C3890">
            <w:pPr>
              <w:rPr>
                <w:color w:val="000000"/>
                <w:sz w:val="22"/>
                <w:szCs w:val="22"/>
              </w:rPr>
            </w:pPr>
            <w:r>
              <w:rPr>
                <w:color w:val="000000"/>
                <w:sz w:val="22"/>
                <w:szCs w:val="22"/>
              </w:rPr>
              <w:t>71,58</w:t>
            </w:r>
          </w:p>
          <w:p w14:paraId="65BDA49E" w14:textId="77777777" w:rsidR="00F8724F" w:rsidRDefault="00F8724F" w:rsidP="006C3890">
            <w:pPr>
              <w:rPr>
                <w:color w:val="000000"/>
                <w:sz w:val="22"/>
                <w:szCs w:val="22"/>
              </w:rPr>
            </w:pPr>
          </w:p>
        </w:tc>
      </w:tr>
      <w:tr w:rsidR="00F8724F" w14:paraId="33276761" w14:textId="77777777" w:rsidTr="006C3890">
        <w:trPr>
          <w:trHeight w:val="315"/>
        </w:trPr>
        <w:tc>
          <w:tcPr>
            <w:tcW w:w="4005" w:type="dxa"/>
            <w:gridSpan w:val="2"/>
            <w:tcBorders>
              <w:top w:val="single" w:sz="4" w:space="0" w:color="auto"/>
              <w:left w:val="single" w:sz="4" w:space="0" w:color="auto"/>
              <w:bottom w:val="single" w:sz="4" w:space="0" w:color="auto"/>
              <w:right w:val="single" w:sz="4" w:space="0" w:color="000000"/>
            </w:tcBorders>
            <w:noWrap/>
            <w:vAlign w:val="center"/>
          </w:tcPr>
          <w:p w14:paraId="727F5025" w14:textId="7F100F31" w:rsidR="00F8724F" w:rsidRDefault="00F8724F" w:rsidP="006C3890">
            <w:pPr>
              <w:jc w:val="center"/>
              <w:rPr>
                <w:b/>
                <w:bCs/>
                <w:color w:val="000000"/>
              </w:rPr>
            </w:pPr>
            <w:r>
              <w:rPr>
                <w:b/>
                <w:bCs/>
                <w:color w:val="000000"/>
              </w:rPr>
              <w:t>Obveza za povrat u proračun</w:t>
            </w:r>
          </w:p>
        </w:tc>
        <w:tc>
          <w:tcPr>
            <w:tcW w:w="749" w:type="dxa"/>
            <w:tcBorders>
              <w:top w:val="nil"/>
              <w:left w:val="nil"/>
              <w:bottom w:val="single" w:sz="4" w:space="0" w:color="auto"/>
              <w:right w:val="single" w:sz="4" w:space="0" w:color="auto"/>
            </w:tcBorders>
            <w:noWrap/>
            <w:vAlign w:val="center"/>
          </w:tcPr>
          <w:p w14:paraId="193299A0" w14:textId="004A31FE" w:rsidR="00F8724F" w:rsidRDefault="00F8724F" w:rsidP="006C3890">
            <w:pPr>
              <w:rPr>
                <w:color w:val="000000"/>
              </w:rPr>
            </w:pPr>
            <w:r>
              <w:rPr>
                <w:color w:val="000000"/>
              </w:rPr>
              <w:t>276</w:t>
            </w:r>
          </w:p>
        </w:tc>
        <w:tc>
          <w:tcPr>
            <w:tcW w:w="1096" w:type="dxa"/>
            <w:tcBorders>
              <w:top w:val="nil"/>
              <w:left w:val="nil"/>
              <w:bottom w:val="single" w:sz="4" w:space="0" w:color="auto"/>
              <w:right w:val="single" w:sz="4" w:space="0" w:color="auto"/>
            </w:tcBorders>
            <w:noWrap/>
            <w:vAlign w:val="center"/>
          </w:tcPr>
          <w:p w14:paraId="453C3E1B" w14:textId="4EEBA8EC" w:rsidR="00F8724F" w:rsidRDefault="00F8724F" w:rsidP="006C3890">
            <w:pPr>
              <w:rPr>
                <w:color w:val="000000"/>
                <w:sz w:val="22"/>
                <w:szCs w:val="22"/>
              </w:rPr>
            </w:pPr>
            <w:r>
              <w:rPr>
                <w:color w:val="000000"/>
                <w:sz w:val="22"/>
                <w:szCs w:val="22"/>
              </w:rPr>
              <w:t>761,57</w:t>
            </w:r>
          </w:p>
        </w:tc>
      </w:tr>
      <w:tr w:rsidR="007F00CD" w14:paraId="6C286C09" w14:textId="77777777" w:rsidTr="006C3890">
        <w:trPr>
          <w:trHeight w:val="70"/>
        </w:trPr>
        <w:tc>
          <w:tcPr>
            <w:tcW w:w="1505" w:type="dxa"/>
            <w:tcBorders>
              <w:top w:val="nil"/>
              <w:left w:val="nil"/>
              <w:bottom w:val="nil"/>
              <w:right w:val="nil"/>
            </w:tcBorders>
            <w:noWrap/>
            <w:vAlign w:val="center"/>
          </w:tcPr>
          <w:p w14:paraId="26C89D85" w14:textId="77777777" w:rsidR="007F00CD" w:rsidRDefault="007F00CD" w:rsidP="006C3890">
            <w:pPr>
              <w:rPr>
                <w:color w:val="000000"/>
                <w:sz w:val="22"/>
                <w:szCs w:val="22"/>
              </w:rPr>
            </w:pPr>
          </w:p>
        </w:tc>
        <w:tc>
          <w:tcPr>
            <w:tcW w:w="2500" w:type="dxa"/>
            <w:tcBorders>
              <w:top w:val="nil"/>
              <w:left w:val="nil"/>
              <w:bottom w:val="nil"/>
              <w:right w:val="nil"/>
            </w:tcBorders>
            <w:noWrap/>
            <w:vAlign w:val="bottom"/>
          </w:tcPr>
          <w:p w14:paraId="794FB787" w14:textId="77777777" w:rsidR="007F00CD" w:rsidRDefault="007F00CD" w:rsidP="006C3890">
            <w:pPr>
              <w:rPr>
                <w:color w:val="000000"/>
                <w:sz w:val="22"/>
                <w:szCs w:val="22"/>
              </w:rPr>
            </w:pPr>
          </w:p>
        </w:tc>
        <w:tc>
          <w:tcPr>
            <w:tcW w:w="749" w:type="dxa"/>
            <w:tcBorders>
              <w:top w:val="nil"/>
              <w:left w:val="nil"/>
              <w:bottom w:val="nil"/>
              <w:right w:val="nil"/>
            </w:tcBorders>
            <w:noWrap/>
            <w:vAlign w:val="bottom"/>
          </w:tcPr>
          <w:p w14:paraId="0240A970" w14:textId="77777777" w:rsidR="007F00CD" w:rsidRDefault="007F00CD" w:rsidP="006C3890">
            <w:pPr>
              <w:rPr>
                <w:color w:val="000000"/>
                <w:sz w:val="22"/>
                <w:szCs w:val="22"/>
              </w:rPr>
            </w:pPr>
          </w:p>
        </w:tc>
        <w:tc>
          <w:tcPr>
            <w:tcW w:w="1096" w:type="dxa"/>
            <w:tcBorders>
              <w:top w:val="nil"/>
              <w:left w:val="nil"/>
              <w:bottom w:val="nil"/>
              <w:right w:val="nil"/>
            </w:tcBorders>
            <w:noWrap/>
            <w:vAlign w:val="bottom"/>
          </w:tcPr>
          <w:p w14:paraId="05B0D6AD" w14:textId="77777777" w:rsidR="007F00CD" w:rsidRDefault="007F00CD" w:rsidP="006C3890">
            <w:pPr>
              <w:rPr>
                <w:rFonts w:ascii="Calibri" w:hAnsi="Calibri" w:cs="Calibri"/>
                <w:color w:val="000000"/>
                <w:sz w:val="22"/>
                <w:szCs w:val="22"/>
              </w:rPr>
            </w:pPr>
          </w:p>
        </w:tc>
      </w:tr>
    </w:tbl>
    <w:p w14:paraId="65C58726" w14:textId="77777777" w:rsidR="007F00CD" w:rsidRDefault="007F00CD" w:rsidP="007F00CD">
      <w:pPr>
        <w:spacing w:line="276" w:lineRule="auto"/>
        <w:jc w:val="both"/>
        <w:rPr>
          <w:rFonts w:ascii="Calibri" w:hAnsi="Calibri"/>
          <w:highlight w:val="yellow"/>
        </w:rPr>
      </w:pPr>
    </w:p>
    <w:p w14:paraId="65DEB177" w14:textId="77777777" w:rsidR="007F00CD" w:rsidRPr="00C10583" w:rsidRDefault="007F00CD" w:rsidP="007F00CD">
      <w:pPr>
        <w:spacing w:line="276" w:lineRule="auto"/>
        <w:jc w:val="both"/>
        <w:rPr>
          <w:rFonts w:ascii="Calibri" w:hAnsi="Calibri"/>
        </w:rPr>
      </w:pPr>
    </w:p>
    <w:p w14:paraId="2B4B1B51" w14:textId="1C2124A9" w:rsidR="007F00CD" w:rsidRPr="00C10583" w:rsidRDefault="007F00CD" w:rsidP="007F00CD">
      <w:pPr>
        <w:numPr>
          <w:ilvl w:val="0"/>
          <w:numId w:val="1"/>
        </w:numPr>
        <w:spacing w:line="276" w:lineRule="auto"/>
        <w:jc w:val="both"/>
        <w:rPr>
          <w:rFonts w:ascii="Calibri" w:hAnsi="Calibri"/>
          <w:b/>
          <w:bCs/>
        </w:rPr>
      </w:pPr>
      <w:r w:rsidRPr="00C10583">
        <w:rPr>
          <w:rFonts w:ascii="Calibri" w:hAnsi="Calibri"/>
        </w:rPr>
        <w:t xml:space="preserve">obveze za plaće zaposlenih </w:t>
      </w:r>
      <w:r w:rsidRPr="00230751">
        <w:rPr>
          <w:rFonts w:ascii="Calibri" w:hAnsi="Calibri"/>
          <w:b/>
          <w:bCs/>
        </w:rPr>
        <w:t>3</w:t>
      </w:r>
      <w:r w:rsidR="00F8724F">
        <w:rPr>
          <w:rFonts w:ascii="Calibri" w:hAnsi="Calibri"/>
          <w:b/>
          <w:bCs/>
        </w:rPr>
        <w:t>2</w:t>
      </w:r>
      <w:r w:rsidRPr="00230751">
        <w:rPr>
          <w:rFonts w:ascii="Calibri" w:hAnsi="Calibri"/>
          <w:b/>
          <w:bCs/>
        </w:rPr>
        <w:t>.</w:t>
      </w:r>
      <w:r w:rsidR="00F8724F">
        <w:rPr>
          <w:rFonts w:ascii="Calibri" w:hAnsi="Calibri"/>
          <w:b/>
          <w:bCs/>
        </w:rPr>
        <w:t>459,57</w:t>
      </w:r>
      <w:r w:rsidRPr="00C10583">
        <w:rPr>
          <w:rFonts w:ascii="Calibri" w:hAnsi="Calibri"/>
          <w:b/>
          <w:bCs/>
        </w:rPr>
        <w:t xml:space="preserve"> EUR</w:t>
      </w:r>
    </w:p>
    <w:p w14:paraId="7B63BA47" w14:textId="73FCF8C4" w:rsidR="007F00CD" w:rsidRPr="00C10583" w:rsidRDefault="007F00CD" w:rsidP="007F00CD">
      <w:pPr>
        <w:numPr>
          <w:ilvl w:val="0"/>
          <w:numId w:val="1"/>
        </w:numPr>
        <w:spacing w:line="276" w:lineRule="auto"/>
        <w:jc w:val="both"/>
        <w:rPr>
          <w:rFonts w:ascii="Calibri" w:hAnsi="Calibri"/>
        </w:rPr>
      </w:pPr>
      <w:r w:rsidRPr="00C10583">
        <w:rPr>
          <w:rFonts w:ascii="Calibri" w:hAnsi="Calibri"/>
        </w:rPr>
        <w:t xml:space="preserve">obveze za porez na dohodak </w:t>
      </w:r>
      <w:r w:rsidRPr="00230751">
        <w:rPr>
          <w:rFonts w:ascii="Calibri" w:hAnsi="Calibri"/>
          <w:b/>
          <w:bCs/>
        </w:rPr>
        <w:t>3.</w:t>
      </w:r>
      <w:r w:rsidR="00F8724F">
        <w:rPr>
          <w:rFonts w:ascii="Calibri" w:hAnsi="Calibri"/>
          <w:b/>
          <w:bCs/>
        </w:rPr>
        <w:t>792,32</w:t>
      </w:r>
      <w:r w:rsidRPr="00C10583">
        <w:rPr>
          <w:rFonts w:ascii="Calibri" w:hAnsi="Calibri"/>
          <w:b/>
          <w:bCs/>
        </w:rPr>
        <w:t xml:space="preserve"> EUR</w:t>
      </w:r>
    </w:p>
    <w:p w14:paraId="3BEE3D6A" w14:textId="2A160B21" w:rsidR="007F00CD" w:rsidRPr="00C10583" w:rsidRDefault="007F00CD" w:rsidP="007F00CD">
      <w:pPr>
        <w:numPr>
          <w:ilvl w:val="0"/>
          <w:numId w:val="1"/>
        </w:numPr>
        <w:spacing w:line="276" w:lineRule="auto"/>
        <w:jc w:val="both"/>
        <w:rPr>
          <w:rFonts w:ascii="Calibri" w:hAnsi="Calibri"/>
        </w:rPr>
      </w:pPr>
      <w:r w:rsidRPr="00C10583">
        <w:rPr>
          <w:rFonts w:ascii="Calibri" w:hAnsi="Calibri"/>
        </w:rPr>
        <w:t xml:space="preserve">obveze za MIO </w:t>
      </w:r>
      <w:r w:rsidR="00F8724F">
        <w:rPr>
          <w:rFonts w:ascii="Calibri" w:hAnsi="Calibri"/>
          <w:b/>
          <w:bCs/>
        </w:rPr>
        <w:t>9.038,26</w:t>
      </w:r>
      <w:r w:rsidRPr="00C10583">
        <w:rPr>
          <w:rFonts w:ascii="Calibri" w:hAnsi="Calibri"/>
          <w:b/>
          <w:bCs/>
        </w:rPr>
        <w:t xml:space="preserve"> EUR</w:t>
      </w:r>
    </w:p>
    <w:p w14:paraId="3DB6DCA8" w14:textId="18B82238" w:rsidR="007F00CD" w:rsidRPr="00C10583" w:rsidRDefault="007F00CD" w:rsidP="007F00CD">
      <w:pPr>
        <w:numPr>
          <w:ilvl w:val="0"/>
          <w:numId w:val="1"/>
        </w:numPr>
        <w:spacing w:line="276" w:lineRule="auto"/>
        <w:jc w:val="both"/>
        <w:rPr>
          <w:rFonts w:ascii="Calibri" w:hAnsi="Calibri"/>
        </w:rPr>
      </w:pPr>
      <w:r w:rsidRPr="00C10583">
        <w:rPr>
          <w:rFonts w:ascii="Calibri" w:hAnsi="Calibri"/>
        </w:rPr>
        <w:t xml:space="preserve">obveze za zdravstveno osiguranje </w:t>
      </w:r>
      <w:r w:rsidR="00F8724F">
        <w:rPr>
          <w:rFonts w:ascii="Calibri" w:hAnsi="Calibri"/>
          <w:b/>
          <w:bCs/>
        </w:rPr>
        <w:t>7.020,67</w:t>
      </w:r>
      <w:r w:rsidRPr="00C10583">
        <w:rPr>
          <w:rFonts w:ascii="Calibri" w:hAnsi="Calibri"/>
          <w:b/>
          <w:bCs/>
        </w:rPr>
        <w:t xml:space="preserve"> EUR</w:t>
      </w:r>
    </w:p>
    <w:p w14:paraId="2B3BE802" w14:textId="77777777" w:rsidR="007F00CD" w:rsidRPr="00C10583" w:rsidRDefault="007F00CD" w:rsidP="007F00CD">
      <w:pPr>
        <w:numPr>
          <w:ilvl w:val="0"/>
          <w:numId w:val="1"/>
        </w:numPr>
        <w:spacing w:line="276" w:lineRule="auto"/>
        <w:jc w:val="both"/>
        <w:rPr>
          <w:rFonts w:ascii="Calibri" w:hAnsi="Calibri"/>
          <w:b/>
          <w:bCs/>
        </w:rPr>
      </w:pPr>
      <w:r w:rsidRPr="00C10583">
        <w:rPr>
          <w:rFonts w:ascii="Calibri" w:hAnsi="Calibri"/>
        </w:rPr>
        <w:t xml:space="preserve">obveze za naknade za prehranu </w:t>
      </w:r>
      <w:r w:rsidRPr="00230751">
        <w:rPr>
          <w:rFonts w:ascii="Calibri" w:hAnsi="Calibri"/>
          <w:b/>
          <w:bCs/>
        </w:rPr>
        <w:t>2.700,00</w:t>
      </w:r>
      <w:r w:rsidRPr="00230751">
        <w:rPr>
          <w:rFonts w:ascii="Calibri" w:hAnsi="Calibri"/>
        </w:rPr>
        <w:t xml:space="preserve"> </w:t>
      </w:r>
      <w:r w:rsidRPr="00C10583">
        <w:rPr>
          <w:rFonts w:ascii="Calibri" w:hAnsi="Calibri"/>
          <w:b/>
          <w:bCs/>
        </w:rPr>
        <w:t>EUR</w:t>
      </w:r>
    </w:p>
    <w:p w14:paraId="34405970" w14:textId="77777777" w:rsidR="007F00CD" w:rsidRPr="00230751" w:rsidRDefault="007F00CD" w:rsidP="007F00CD">
      <w:pPr>
        <w:numPr>
          <w:ilvl w:val="0"/>
          <w:numId w:val="1"/>
        </w:numPr>
        <w:spacing w:line="276" w:lineRule="auto"/>
        <w:jc w:val="both"/>
        <w:rPr>
          <w:rFonts w:ascii="Calibri" w:hAnsi="Calibri"/>
        </w:rPr>
      </w:pPr>
      <w:r w:rsidRPr="00C10583">
        <w:rPr>
          <w:rFonts w:ascii="Calibri" w:hAnsi="Calibri"/>
        </w:rPr>
        <w:t xml:space="preserve">naknada za prijevoz na posao </w:t>
      </w:r>
      <w:r w:rsidRPr="00230751">
        <w:rPr>
          <w:rFonts w:ascii="Calibri" w:hAnsi="Calibri"/>
          <w:b/>
          <w:bCs/>
        </w:rPr>
        <w:t>1.576,53</w:t>
      </w:r>
      <w:r w:rsidRPr="00C10583">
        <w:rPr>
          <w:rFonts w:ascii="Calibri" w:hAnsi="Calibri"/>
          <w:b/>
          <w:bCs/>
        </w:rPr>
        <w:t xml:space="preserve"> EUR</w:t>
      </w:r>
    </w:p>
    <w:p w14:paraId="23B3E6D2" w14:textId="112A725D" w:rsidR="007F00CD" w:rsidRPr="00230751" w:rsidRDefault="007F00CD" w:rsidP="007F00CD">
      <w:pPr>
        <w:pStyle w:val="Odlomakpopisa"/>
        <w:numPr>
          <w:ilvl w:val="0"/>
          <w:numId w:val="1"/>
        </w:numPr>
        <w:spacing w:after="160" w:line="276" w:lineRule="auto"/>
        <w:jc w:val="both"/>
        <w:rPr>
          <w:rFonts w:ascii="Calibri" w:hAnsi="Calibri"/>
          <w:b/>
          <w:bCs/>
        </w:rPr>
      </w:pPr>
      <w:r w:rsidRPr="00230751">
        <w:rPr>
          <w:rFonts w:ascii="Calibri" w:hAnsi="Calibri"/>
        </w:rPr>
        <w:t xml:space="preserve">obveze prema dobavljačima </w:t>
      </w:r>
      <w:r w:rsidR="00F8724F">
        <w:rPr>
          <w:rFonts w:ascii="Calibri" w:hAnsi="Calibri"/>
          <w:b/>
          <w:bCs/>
        </w:rPr>
        <w:t>71,58</w:t>
      </w:r>
      <w:r>
        <w:rPr>
          <w:rFonts w:ascii="Calibri" w:hAnsi="Calibri"/>
          <w:b/>
          <w:bCs/>
        </w:rPr>
        <w:t xml:space="preserve"> EUR</w:t>
      </w:r>
    </w:p>
    <w:p w14:paraId="47AAC48E" w14:textId="77777777" w:rsidR="007F00CD" w:rsidRDefault="007F00CD" w:rsidP="007F00CD">
      <w:pPr>
        <w:spacing w:line="276" w:lineRule="auto"/>
        <w:jc w:val="both"/>
        <w:rPr>
          <w:rFonts w:ascii="Calibri" w:hAnsi="Calibri"/>
        </w:rPr>
      </w:pPr>
    </w:p>
    <w:p w14:paraId="7D435340" w14:textId="77777777" w:rsidR="007F00CD" w:rsidRDefault="007F00CD" w:rsidP="007F00CD">
      <w:pPr>
        <w:spacing w:line="276" w:lineRule="auto"/>
        <w:jc w:val="both"/>
        <w:rPr>
          <w:rFonts w:ascii="Calibri" w:hAnsi="Calibri"/>
        </w:rPr>
      </w:pPr>
    </w:p>
    <w:p w14:paraId="1ADDAC06" w14:textId="12AF81CF" w:rsidR="007F00CD" w:rsidRPr="00C31BE5" w:rsidRDefault="007F00CD" w:rsidP="007F00CD">
      <w:pPr>
        <w:spacing w:line="276" w:lineRule="auto"/>
        <w:jc w:val="both"/>
        <w:rPr>
          <w:rFonts w:ascii="Calibri" w:hAnsi="Calibri"/>
        </w:rPr>
      </w:pPr>
      <w:r w:rsidRPr="00C31BE5">
        <w:rPr>
          <w:rFonts w:ascii="Calibri" w:hAnsi="Calibri"/>
        </w:rPr>
        <w:t>Virovitic</w:t>
      </w:r>
      <w:r>
        <w:rPr>
          <w:rFonts w:ascii="Calibri" w:hAnsi="Calibri"/>
        </w:rPr>
        <w:t>a</w:t>
      </w:r>
      <w:r w:rsidRPr="00C31BE5">
        <w:rPr>
          <w:rFonts w:ascii="Calibri" w:hAnsi="Calibri"/>
        </w:rPr>
        <w:t xml:space="preserve">, </w:t>
      </w:r>
      <w:r>
        <w:rPr>
          <w:rFonts w:ascii="Calibri" w:hAnsi="Calibri"/>
        </w:rPr>
        <w:t>30</w:t>
      </w:r>
      <w:r w:rsidRPr="00C31BE5">
        <w:rPr>
          <w:rFonts w:ascii="Calibri" w:hAnsi="Calibri"/>
        </w:rPr>
        <w:t>.1.202</w:t>
      </w:r>
      <w:r w:rsidR="00F8724F">
        <w:rPr>
          <w:rFonts w:ascii="Calibri" w:hAnsi="Calibri"/>
        </w:rPr>
        <w:t>6</w:t>
      </w:r>
      <w:r w:rsidRPr="00C31BE5">
        <w:rPr>
          <w:rFonts w:ascii="Calibri" w:hAnsi="Calibri"/>
        </w:rPr>
        <w:t>. godine</w:t>
      </w:r>
    </w:p>
    <w:p w14:paraId="451D19B4" w14:textId="77777777" w:rsidR="007F00CD" w:rsidRDefault="007F00CD" w:rsidP="007F00CD">
      <w:pPr>
        <w:spacing w:line="276" w:lineRule="auto"/>
        <w:jc w:val="both"/>
        <w:rPr>
          <w:rFonts w:asciiTheme="minorHAnsi" w:hAnsiTheme="minorHAnsi"/>
        </w:rPr>
      </w:pPr>
    </w:p>
    <w:p w14:paraId="44F4911B" w14:textId="77777777" w:rsidR="007F00CD" w:rsidRDefault="007F00CD" w:rsidP="007F00CD">
      <w:pPr>
        <w:spacing w:line="276" w:lineRule="auto"/>
        <w:jc w:val="both"/>
        <w:rPr>
          <w:rFonts w:asciiTheme="minorHAnsi" w:hAnsiTheme="minorHAnsi"/>
        </w:rPr>
      </w:pPr>
    </w:p>
    <w:p w14:paraId="3C1004AC" w14:textId="77777777" w:rsidR="007F00CD" w:rsidRPr="00D41731" w:rsidRDefault="007F00CD" w:rsidP="00D41731"/>
    <w:sectPr w:rsidR="007F00CD" w:rsidRPr="00D417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407843"/>
    <w:multiLevelType w:val="hybridMultilevel"/>
    <w:tmpl w:val="BF408EA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num w:numId="1" w16cid:durableId="475877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731"/>
    <w:rsid w:val="000B039F"/>
    <w:rsid w:val="00186B46"/>
    <w:rsid w:val="002E6A08"/>
    <w:rsid w:val="004861D3"/>
    <w:rsid w:val="004B5B3D"/>
    <w:rsid w:val="006D6F0B"/>
    <w:rsid w:val="007F00CD"/>
    <w:rsid w:val="007F757C"/>
    <w:rsid w:val="00AD448D"/>
    <w:rsid w:val="00AD464A"/>
    <w:rsid w:val="00AE3A4E"/>
    <w:rsid w:val="00B93348"/>
    <w:rsid w:val="00B950CE"/>
    <w:rsid w:val="00B978D9"/>
    <w:rsid w:val="00D41731"/>
    <w:rsid w:val="00D70E51"/>
    <w:rsid w:val="00DB45AD"/>
    <w:rsid w:val="00EE17BD"/>
    <w:rsid w:val="00EF7BD0"/>
    <w:rsid w:val="00F8724F"/>
    <w:rsid w:val="00FA194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FFA27"/>
  <w15:chartTrackingRefBased/>
  <w15:docId w15:val="{023AE69D-D7E3-46EA-84F1-2EB3FE006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731"/>
    <w:pPr>
      <w:spacing w:after="0" w:line="240" w:lineRule="auto"/>
    </w:pPr>
    <w:rPr>
      <w:rFonts w:ascii="Times New Roman" w:eastAsia="Times New Roman" w:hAnsi="Times New Roman" w:cs="Times New Roman"/>
      <w:kern w:val="0"/>
      <w:sz w:val="24"/>
      <w:szCs w:val="24"/>
      <w:lang w:eastAsia="hr-HR"/>
      <w14:ligatures w14:val="none"/>
    </w:rPr>
  </w:style>
  <w:style w:type="paragraph" w:styleId="Naslov1">
    <w:name w:val="heading 1"/>
    <w:basedOn w:val="Normal"/>
    <w:next w:val="Normal"/>
    <w:link w:val="Naslov1Char"/>
    <w:uiPriority w:val="9"/>
    <w:qFormat/>
    <w:rsid w:val="00D417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D417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D41731"/>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D41731"/>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D41731"/>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D41731"/>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D41731"/>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D41731"/>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D41731"/>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D41731"/>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D41731"/>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D41731"/>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D41731"/>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D41731"/>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D41731"/>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D41731"/>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D41731"/>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D41731"/>
    <w:rPr>
      <w:rFonts w:eastAsiaTheme="majorEastAsia" w:cstheme="majorBidi"/>
      <w:color w:val="272727" w:themeColor="text1" w:themeTint="D8"/>
    </w:rPr>
  </w:style>
  <w:style w:type="paragraph" w:styleId="Naslov">
    <w:name w:val="Title"/>
    <w:basedOn w:val="Normal"/>
    <w:next w:val="Normal"/>
    <w:link w:val="NaslovChar"/>
    <w:uiPriority w:val="10"/>
    <w:qFormat/>
    <w:rsid w:val="00D41731"/>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D41731"/>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D41731"/>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D4173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41731"/>
    <w:pPr>
      <w:spacing w:before="160"/>
      <w:jc w:val="center"/>
    </w:pPr>
    <w:rPr>
      <w:i/>
      <w:iCs/>
      <w:color w:val="404040" w:themeColor="text1" w:themeTint="BF"/>
    </w:rPr>
  </w:style>
  <w:style w:type="character" w:customStyle="1" w:styleId="CitatChar">
    <w:name w:val="Citat Char"/>
    <w:basedOn w:val="Zadanifontodlomka"/>
    <w:link w:val="Citat"/>
    <w:uiPriority w:val="29"/>
    <w:rsid w:val="00D41731"/>
    <w:rPr>
      <w:i/>
      <w:iCs/>
      <w:color w:val="404040" w:themeColor="text1" w:themeTint="BF"/>
    </w:rPr>
  </w:style>
  <w:style w:type="paragraph" w:styleId="Odlomakpopisa">
    <w:name w:val="List Paragraph"/>
    <w:basedOn w:val="Normal"/>
    <w:uiPriority w:val="99"/>
    <w:qFormat/>
    <w:rsid w:val="00D41731"/>
    <w:pPr>
      <w:ind w:left="720"/>
      <w:contextualSpacing/>
    </w:pPr>
  </w:style>
  <w:style w:type="character" w:styleId="Jakoisticanje">
    <w:name w:val="Intense Emphasis"/>
    <w:basedOn w:val="Zadanifontodlomka"/>
    <w:uiPriority w:val="21"/>
    <w:qFormat/>
    <w:rsid w:val="00D41731"/>
    <w:rPr>
      <w:i/>
      <w:iCs/>
      <w:color w:val="2F5496" w:themeColor="accent1" w:themeShade="BF"/>
    </w:rPr>
  </w:style>
  <w:style w:type="paragraph" w:styleId="Naglaencitat">
    <w:name w:val="Intense Quote"/>
    <w:basedOn w:val="Normal"/>
    <w:next w:val="Normal"/>
    <w:link w:val="NaglaencitatChar"/>
    <w:uiPriority w:val="30"/>
    <w:qFormat/>
    <w:rsid w:val="00D417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D41731"/>
    <w:rPr>
      <w:i/>
      <w:iCs/>
      <w:color w:val="2F5496" w:themeColor="accent1" w:themeShade="BF"/>
    </w:rPr>
  </w:style>
  <w:style w:type="character" w:styleId="Istaknutareferenca">
    <w:name w:val="Intense Reference"/>
    <w:basedOn w:val="Zadanifontodlomka"/>
    <w:uiPriority w:val="32"/>
    <w:qFormat/>
    <w:rsid w:val="00D417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1370</Words>
  <Characters>7809</Characters>
  <Application>Microsoft Office Word</Application>
  <DocSecurity>0</DocSecurity>
  <Lines>65</Lines>
  <Paragraphs>18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kazaliste.vtc@gmail.com</dc:creator>
  <cp:keywords/>
  <dc:description/>
  <cp:lastModifiedBy>kazaliste.vtc@gmail.com</cp:lastModifiedBy>
  <cp:revision>2</cp:revision>
  <dcterms:created xsi:type="dcterms:W3CDTF">2026-02-12T11:51:00Z</dcterms:created>
  <dcterms:modified xsi:type="dcterms:W3CDTF">2026-02-12T11:51:00Z</dcterms:modified>
</cp:coreProperties>
</file>